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5324F8">
        <w:rPr>
          <w:b/>
          <w:sz w:val="28"/>
          <w:u w:val="single"/>
        </w:rPr>
        <w:t>18</w:t>
      </w:r>
      <w:r w:rsidR="00DD73FC" w:rsidRPr="00EC1D79">
        <w:rPr>
          <w:b/>
          <w:sz w:val="28"/>
          <w:u w:val="single"/>
        </w:rPr>
        <w:t xml:space="preserve"> </w:t>
      </w:r>
      <w:r w:rsidR="002D7964">
        <w:rPr>
          <w:b/>
          <w:sz w:val="28"/>
          <w:u w:val="single"/>
        </w:rPr>
        <w:t>–</w:t>
      </w:r>
      <w:r w:rsidR="00DD73FC" w:rsidRPr="00EC1D79">
        <w:rPr>
          <w:b/>
          <w:sz w:val="28"/>
          <w:u w:val="single"/>
        </w:rPr>
        <w:t xml:space="preserve"> </w:t>
      </w:r>
      <w:r w:rsidR="005324F8">
        <w:rPr>
          <w:b/>
          <w:sz w:val="28"/>
          <w:u w:val="single"/>
        </w:rPr>
        <w:t>JUSTIFICACIÓN DE PRECIOS</w:t>
      </w:r>
    </w:p>
    <w:p w:rsidR="00DD73FC" w:rsidRDefault="00DD73FC"/>
    <w:bookmarkStart w:id="0" w:name="_GoBack"/>
    <w:bookmarkEnd w:id="0"/>
    <w:p w:rsidR="0029282C"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4484761" w:history="1">
        <w:r w:rsidR="0029282C" w:rsidRPr="00703B16">
          <w:rPr>
            <w:rStyle w:val="Hipervnculo"/>
            <w:noProof/>
          </w:rPr>
          <w:t>1.</w:t>
        </w:r>
        <w:r w:rsidR="0029282C">
          <w:rPr>
            <w:rFonts w:asciiTheme="minorHAnsi" w:eastAsiaTheme="minorEastAsia" w:hAnsiTheme="minorHAnsi"/>
            <w:b w:val="0"/>
            <w:smallCaps w:val="0"/>
            <w:noProof/>
            <w:sz w:val="22"/>
            <w:lang w:eastAsia="es-ES"/>
          </w:rPr>
          <w:tab/>
        </w:r>
        <w:r w:rsidR="0029282C" w:rsidRPr="00703B16">
          <w:rPr>
            <w:rStyle w:val="Hipervnculo"/>
            <w:noProof/>
          </w:rPr>
          <w:t>Introducción</w:t>
        </w:r>
        <w:r w:rsidR="0029282C">
          <w:rPr>
            <w:noProof/>
            <w:webHidden/>
          </w:rPr>
          <w:tab/>
        </w:r>
        <w:r w:rsidR="0029282C">
          <w:rPr>
            <w:noProof/>
            <w:webHidden/>
          </w:rPr>
          <w:fldChar w:fldCharType="begin"/>
        </w:r>
        <w:r w:rsidR="0029282C">
          <w:rPr>
            <w:noProof/>
            <w:webHidden/>
          </w:rPr>
          <w:instrText xml:space="preserve"> PAGEREF _Toc474484761 \h </w:instrText>
        </w:r>
        <w:r w:rsidR="0029282C">
          <w:rPr>
            <w:noProof/>
            <w:webHidden/>
          </w:rPr>
        </w:r>
        <w:r w:rsidR="0029282C">
          <w:rPr>
            <w:noProof/>
            <w:webHidden/>
          </w:rPr>
          <w:fldChar w:fldCharType="separate"/>
        </w:r>
        <w:r w:rsidR="00E7249B">
          <w:rPr>
            <w:noProof/>
            <w:webHidden/>
          </w:rPr>
          <w:t>2</w:t>
        </w:r>
        <w:r w:rsidR="0029282C">
          <w:rPr>
            <w:noProof/>
            <w:webHidden/>
          </w:rPr>
          <w:fldChar w:fldCharType="end"/>
        </w:r>
      </w:hyperlink>
    </w:p>
    <w:p w:rsidR="0029282C" w:rsidRDefault="0029282C">
      <w:pPr>
        <w:pStyle w:val="TDC2"/>
        <w:tabs>
          <w:tab w:val="right" w:leader="dot" w:pos="10000"/>
        </w:tabs>
        <w:rPr>
          <w:rFonts w:asciiTheme="minorHAnsi" w:eastAsiaTheme="minorEastAsia" w:hAnsiTheme="minorHAnsi"/>
          <w:b w:val="0"/>
          <w:noProof/>
          <w:lang w:eastAsia="es-ES"/>
        </w:rPr>
      </w:pPr>
      <w:hyperlink w:anchor="_Toc474484762" w:history="1">
        <w:r w:rsidRPr="00703B16">
          <w:rPr>
            <w:rStyle w:val="Hipervnculo"/>
            <w:noProof/>
          </w:rPr>
          <w:t>1.1.</w:t>
        </w:r>
        <w:r>
          <w:rPr>
            <w:rFonts w:asciiTheme="minorHAnsi" w:eastAsiaTheme="minorEastAsia" w:hAnsiTheme="minorHAnsi"/>
            <w:b w:val="0"/>
            <w:noProof/>
            <w:lang w:eastAsia="es-ES"/>
          </w:rPr>
          <w:tab/>
        </w:r>
        <w:r w:rsidRPr="00703B16">
          <w:rPr>
            <w:rStyle w:val="Hipervnculo"/>
            <w:noProof/>
          </w:rPr>
          <w:t>Costes directos</w:t>
        </w:r>
        <w:r>
          <w:rPr>
            <w:noProof/>
            <w:webHidden/>
          </w:rPr>
          <w:tab/>
        </w:r>
        <w:r>
          <w:rPr>
            <w:noProof/>
            <w:webHidden/>
          </w:rPr>
          <w:fldChar w:fldCharType="begin"/>
        </w:r>
        <w:r>
          <w:rPr>
            <w:noProof/>
            <w:webHidden/>
          </w:rPr>
          <w:instrText xml:space="preserve"> PAGEREF _Toc474484762 \h </w:instrText>
        </w:r>
        <w:r>
          <w:rPr>
            <w:noProof/>
            <w:webHidden/>
          </w:rPr>
        </w:r>
        <w:r>
          <w:rPr>
            <w:noProof/>
            <w:webHidden/>
          </w:rPr>
          <w:fldChar w:fldCharType="separate"/>
        </w:r>
        <w:r w:rsidR="00E7249B">
          <w:rPr>
            <w:noProof/>
            <w:webHidden/>
          </w:rPr>
          <w:t>2</w:t>
        </w:r>
        <w:r>
          <w:rPr>
            <w:noProof/>
            <w:webHidden/>
          </w:rPr>
          <w:fldChar w:fldCharType="end"/>
        </w:r>
      </w:hyperlink>
    </w:p>
    <w:p w:rsidR="0029282C" w:rsidRDefault="0029282C">
      <w:pPr>
        <w:pStyle w:val="TDC2"/>
        <w:tabs>
          <w:tab w:val="right" w:leader="dot" w:pos="10000"/>
        </w:tabs>
        <w:rPr>
          <w:rFonts w:asciiTheme="minorHAnsi" w:eastAsiaTheme="minorEastAsia" w:hAnsiTheme="minorHAnsi"/>
          <w:b w:val="0"/>
          <w:noProof/>
          <w:lang w:eastAsia="es-ES"/>
        </w:rPr>
      </w:pPr>
      <w:hyperlink w:anchor="_Toc474484763" w:history="1">
        <w:r w:rsidRPr="00703B16">
          <w:rPr>
            <w:rStyle w:val="Hipervnculo"/>
            <w:noProof/>
          </w:rPr>
          <w:t>1.2.</w:t>
        </w:r>
        <w:r>
          <w:rPr>
            <w:rFonts w:asciiTheme="minorHAnsi" w:eastAsiaTheme="minorEastAsia" w:hAnsiTheme="minorHAnsi"/>
            <w:b w:val="0"/>
            <w:noProof/>
            <w:lang w:eastAsia="es-ES"/>
          </w:rPr>
          <w:tab/>
        </w:r>
        <w:r w:rsidRPr="00703B16">
          <w:rPr>
            <w:rStyle w:val="Hipervnculo"/>
            <w:noProof/>
          </w:rPr>
          <w:t>Costes indirectos</w:t>
        </w:r>
        <w:r>
          <w:rPr>
            <w:noProof/>
            <w:webHidden/>
          </w:rPr>
          <w:tab/>
        </w:r>
        <w:r>
          <w:rPr>
            <w:noProof/>
            <w:webHidden/>
          </w:rPr>
          <w:fldChar w:fldCharType="begin"/>
        </w:r>
        <w:r>
          <w:rPr>
            <w:noProof/>
            <w:webHidden/>
          </w:rPr>
          <w:instrText xml:space="preserve"> PAGEREF _Toc474484763 \h </w:instrText>
        </w:r>
        <w:r>
          <w:rPr>
            <w:noProof/>
            <w:webHidden/>
          </w:rPr>
        </w:r>
        <w:r>
          <w:rPr>
            <w:noProof/>
            <w:webHidden/>
          </w:rPr>
          <w:fldChar w:fldCharType="separate"/>
        </w:r>
        <w:r w:rsidR="00E7249B">
          <w:rPr>
            <w:noProof/>
            <w:webHidden/>
          </w:rPr>
          <w:t>2</w:t>
        </w:r>
        <w:r>
          <w:rPr>
            <w:noProof/>
            <w:webHidden/>
          </w:rPr>
          <w:fldChar w:fldCharType="end"/>
        </w:r>
      </w:hyperlink>
    </w:p>
    <w:p w:rsidR="0029282C" w:rsidRDefault="0029282C">
      <w:pPr>
        <w:pStyle w:val="TDC1"/>
        <w:tabs>
          <w:tab w:val="right" w:leader="dot" w:pos="10000"/>
        </w:tabs>
        <w:rPr>
          <w:rFonts w:asciiTheme="minorHAnsi" w:eastAsiaTheme="minorEastAsia" w:hAnsiTheme="minorHAnsi"/>
          <w:b w:val="0"/>
          <w:smallCaps w:val="0"/>
          <w:noProof/>
          <w:sz w:val="22"/>
          <w:lang w:eastAsia="es-ES"/>
        </w:rPr>
      </w:pPr>
      <w:hyperlink w:anchor="_Toc474484764" w:history="1">
        <w:r w:rsidRPr="00703B16">
          <w:rPr>
            <w:rStyle w:val="Hipervnculo"/>
            <w:noProof/>
          </w:rPr>
          <w:t>2.</w:t>
        </w:r>
        <w:r>
          <w:rPr>
            <w:rFonts w:asciiTheme="minorHAnsi" w:eastAsiaTheme="minorEastAsia" w:hAnsiTheme="minorHAnsi"/>
            <w:b w:val="0"/>
            <w:smallCaps w:val="0"/>
            <w:noProof/>
            <w:sz w:val="22"/>
            <w:lang w:eastAsia="es-ES"/>
          </w:rPr>
          <w:tab/>
        </w:r>
        <w:r w:rsidRPr="00703B16">
          <w:rPr>
            <w:rStyle w:val="Hipervnculo"/>
            <w:noProof/>
          </w:rPr>
          <w:t>Coste de la mano de obra en la zona</w:t>
        </w:r>
        <w:r>
          <w:rPr>
            <w:noProof/>
            <w:webHidden/>
          </w:rPr>
          <w:tab/>
        </w:r>
        <w:r>
          <w:rPr>
            <w:noProof/>
            <w:webHidden/>
          </w:rPr>
          <w:fldChar w:fldCharType="begin"/>
        </w:r>
        <w:r>
          <w:rPr>
            <w:noProof/>
            <w:webHidden/>
          </w:rPr>
          <w:instrText xml:space="preserve"> PAGEREF _Toc474484764 \h </w:instrText>
        </w:r>
        <w:r>
          <w:rPr>
            <w:noProof/>
            <w:webHidden/>
          </w:rPr>
        </w:r>
        <w:r>
          <w:rPr>
            <w:noProof/>
            <w:webHidden/>
          </w:rPr>
          <w:fldChar w:fldCharType="separate"/>
        </w:r>
        <w:r w:rsidR="00E7249B">
          <w:rPr>
            <w:noProof/>
            <w:webHidden/>
          </w:rPr>
          <w:t>3</w:t>
        </w:r>
        <w:r>
          <w:rPr>
            <w:noProof/>
            <w:webHidden/>
          </w:rPr>
          <w:fldChar w:fldCharType="end"/>
        </w:r>
      </w:hyperlink>
    </w:p>
    <w:p w:rsidR="0029282C" w:rsidRDefault="0029282C">
      <w:pPr>
        <w:pStyle w:val="TDC2"/>
        <w:tabs>
          <w:tab w:val="right" w:leader="dot" w:pos="10000"/>
        </w:tabs>
        <w:rPr>
          <w:rFonts w:asciiTheme="minorHAnsi" w:eastAsiaTheme="minorEastAsia" w:hAnsiTheme="minorHAnsi"/>
          <w:b w:val="0"/>
          <w:noProof/>
          <w:lang w:eastAsia="es-ES"/>
        </w:rPr>
      </w:pPr>
      <w:hyperlink w:anchor="_Toc474484765" w:history="1">
        <w:r w:rsidRPr="00703B16">
          <w:rPr>
            <w:rStyle w:val="Hipervnculo"/>
            <w:noProof/>
          </w:rPr>
          <w:t>2.1.</w:t>
        </w:r>
        <w:r>
          <w:rPr>
            <w:rFonts w:asciiTheme="minorHAnsi" w:eastAsiaTheme="minorEastAsia" w:hAnsiTheme="minorHAnsi"/>
            <w:b w:val="0"/>
            <w:noProof/>
            <w:lang w:eastAsia="es-ES"/>
          </w:rPr>
          <w:tab/>
        </w:r>
        <w:r w:rsidRPr="00703B16">
          <w:rPr>
            <w:rStyle w:val="Hipervnculo"/>
            <w:noProof/>
          </w:rPr>
          <w:t>Tabla del coste de la mano de obra empleada</w:t>
        </w:r>
        <w:r>
          <w:rPr>
            <w:noProof/>
            <w:webHidden/>
          </w:rPr>
          <w:tab/>
        </w:r>
        <w:r>
          <w:rPr>
            <w:noProof/>
            <w:webHidden/>
          </w:rPr>
          <w:fldChar w:fldCharType="begin"/>
        </w:r>
        <w:r>
          <w:rPr>
            <w:noProof/>
            <w:webHidden/>
          </w:rPr>
          <w:instrText xml:space="preserve"> PAGEREF _Toc474484765 \h </w:instrText>
        </w:r>
        <w:r>
          <w:rPr>
            <w:noProof/>
            <w:webHidden/>
          </w:rPr>
        </w:r>
        <w:r>
          <w:rPr>
            <w:noProof/>
            <w:webHidden/>
          </w:rPr>
          <w:fldChar w:fldCharType="separate"/>
        </w:r>
        <w:r w:rsidR="00E7249B">
          <w:rPr>
            <w:noProof/>
            <w:webHidden/>
          </w:rPr>
          <w:t>3</w:t>
        </w:r>
        <w:r>
          <w:rPr>
            <w:noProof/>
            <w:webHidden/>
          </w:rPr>
          <w:fldChar w:fldCharType="end"/>
        </w:r>
      </w:hyperlink>
    </w:p>
    <w:p w:rsidR="0029282C" w:rsidRDefault="0029282C">
      <w:pPr>
        <w:pStyle w:val="TDC1"/>
        <w:tabs>
          <w:tab w:val="right" w:leader="dot" w:pos="10000"/>
        </w:tabs>
        <w:rPr>
          <w:rFonts w:asciiTheme="minorHAnsi" w:eastAsiaTheme="minorEastAsia" w:hAnsiTheme="minorHAnsi"/>
          <w:b w:val="0"/>
          <w:smallCaps w:val="0"/>
          <w:noProof/>
          <w:sz w:val="22"/>
          <w:lang w:eastAsia="es-ES"/>
        </w:rPr>
      </w:pPr>
      <w:hyperlink w:anchor="_Toc474484766" w:history="1">
        <w:r w:rsidRPr="00703B16">
          <w:rPr>
            <w:rStyle w:val="Hipervnculo"/>
            <w:noProof/>
          </w:rPr>
          <w:t>3.</w:t>
        </w:r>
        <w:r>
          <w:rPr>
            <w:rFonts w:asciiTheme="minorHAnsi" w:eastAsiaTheme="minorEastAsia" w:hAnsiTheme="minorHAnsi"/>
            <w:b w:val="0"/>
            <w:smallCaps w:val="0"/>
            <w:noProof/>
            <w:sz w:val="22"/>
            <w:lang w:eastAsia="es-ES"/>
          </w:rPr>
          <w:tab/>
        </w:r>
        <w:r w:rsidRPr="00703B16">
          <w:rPr>
            <w:rStyle w:val="Hipervnculo"/>
            <w:noProof/>
          </w:rPr>
          <w:t>Coste de la maquinaria</w:t>
        </w:r>
        <w:r>
          <w:rPr>
            <w:noProof/>
            <w:webHidden/>
          </w:rPr>
          <w:tab/>
        </w:r>
        <w:r>
          <w:rPr>
            <w:noProof/>
            <w:webHidden/>
          </w:rPr>
          <w:fldChar w:fldCharType="begin"/>
        </w:r>
        <w:r>
          <w:rPr>
            <w:noProof/>
            <w:webHidden/>
          </w:rPr>
          <w:instrText xml:space="preserve"> PAGEREF _Toc474484766 \h </w:instrText>
        </w:r>
        <w:r>
          <w:rPr>
            <w:noProof/>
            <w:webHidden/>
          </w:rPr>
        </w:r>
        <w:r>
          <w:rPr>
            <w:noProof/>
            <w:webHidden/>
          </w:rPr>
          <w:fldChar w:fldCharType="separate"/>
        </w:r>
        <w:r w:rsidR="00E7249B">
          <w:rPr>
            <w:noProof/>
            <w:webHidden/>
          </w:rPr>
          <w:t>3</w:t>
        </w:r>
        <w:r>
          <w:rPr>
            <w:noProof/>
            <w:webHidden/>
          </w:rPr>
          <w:fldChar w:fldCharType="end"/>
        </w:r>
      </w:hyperlink>
    </w:p>
    <w:p w:rsidR="0029282C" w:rsidRDefault="0029282C">
      <w:pPr>
        <w:pStyle w:val="TDC1"/>
        <w:tabs>
          <w:tab w:val="right" w:leader="dot" w:pos="10000"/>
        </w:tabs>
        <w:rPr>
          <w:rFonts w:asciiTheme="minorHAnsi" w:eastAsiaTheme="minorEastAsia" w:hAnsiTheme="minorHAnsi"/>
          <w:b w:val="0"/>
          <w:smallCaps w:val="0"/>
          <w:noProof/>
          <w:sz w:val="22"/>
          <w:lang w:eastAsia="es-ES"/>
        </w:rPr>
      </w:pPr>
      <w:hyperlink w:anchor="_Toc474484767" w:history="1">
        <w:r w:rsidRPr="00703B16">
          <w:rPr>
            <w:rStyle w:val="Hipervnculo"/>
            <w:noProof/>
          </w:rPr>
          <w:t>4.</w:t>
        </w:r>
        <w:r>
          <w:rPr>
            <w:rFonts w:asciiTheme="minorHAnsi" w:eastAsiaTheme="minorEastAsia" w:hAnsiTheme="minorHAnsi"/>
            <w:b w:val="0"/>
            <w:smallCaps w:val="0"/>
            <w:noProof/>
            <w:sz w:val="22"/>
            <w:lang w:eastAsia="es-ES"/>
          </w:rPr>
          <w:tab/>
        </w:r>
        <w:r w:rsidRPr="00703B16">
          <w:rPr>
            <w:rStyle w:val="Hipervnculo"/>
            <w:noProof/>
          </w:rPr>
          <w:t>Coste de los materiales a pie de obra</w:t>
        </w:r>
        <w:r>
          <w:rPr>
            <w:noProof/>
            <w:webHidden/>
          </w:rPr>
          <w:tab/>
        </w:r>
        <w:r>
          <w:rPr>
            <w:noProof/>
            <w:webHidden/>
          </w:rPr>
          <w:fldChar w:fldCharType="begin"/>
        </w:r>
        <w:r>
          <w:rPr>
            <w:noProof/>
            <w:webHidden/>
          </w:rPr>
          <w:instrText xml:space="preserve"> PAGEREF _Toc474484767 \h </w:instrText>
        </w:r>
        <w:r>
          <w:rPr>
            <w:noProof/>
            <w:webHidden/>
          </w:rPr>
        </w:r>
        <w:r>
          <w:rPr>
            <w:noProof/>
            <w:webHidden/>
          </w:rPr>
          <w:fldChar w:fldCharType="separate"/>
        </w:r>
        <w:r w:rsidR="00E7249B">
          <w:rPr>
            <w:noProof/>
            <w:webHidden/>
          </w:rPr>
          <w:t>4</w:t>
        </w:r>
        <w:r>
          <w:rPr>
            <w:noProof/>
            <w:webHidden/>
          </w:rPr>
          <w:fldChar w:fldCharType="end"/>
        </w:r>
      </w:hyperlink>
    </w:p>
    <w:p w:rsidR="0029282C" w:rsidRDefault="0029282C">
      <w:pPr>
        <w:pStyle w:val="TDC1"/>
        <w:tabs>
          <w:tab w:val="right" w:leader="dot" w:pos="10000"/>
        </w:tabs>
        <w:rPr>
          <w:rFonts w:asciiTheme="minorHAnsi" w:eastAsiaTheme="minorEastAsia" w:hAnsiTheme="minorHAnsi"/>
          <w:b w:val="0"/>
          <w:smallCaps w:val="0"/>
          <w:noProof/>
          <w:sz w:val="22"/>
          <w:lang w:eastAsia="es-ES"/>
        </w:rPr>
      </w:pPr>
      <w:hyperlink w:anchor="_Toc474484768" w:history="1">
        <w:r w:rsidRPr="00703B16">
          <w:rPr>
            <w:rStyle w:val="Hipervnculo"/>
            <w:noProof/>
          </w:rPr>
          <w:t>5.</w:t>
        </w:r>
        <w:r>
          <w:rPr>
            <w:rFonts w:asciiTheme="minorHAnsi" w:eastAsiaTheme="minorEastAsia" w:hAnsiTheme="minorHAnsi"/>
            <w:b w:val="0"/>
            <w:smallCaps w:val="0"/>
            <w:noProof/>
            <w:sz w:val="22"/>
            <w:lang w:eastAsia="es-ES"/>
          </w:rPr>
          <w:tab/>
        </w:r>
        <w:r w:rsidRPr="00703B16">
          <w:rPr>
            <w:rStyle w:val="Hipervnculo"/>
            <w:noProof/>
          </w:rPr>
          <w:t>Justificación de los costes indirectos</w:t>
        </w:r>
        <w:r>
          <w:rPr>
            <w:noProof/>
            <w:webHidden/>
          </w:rPr>
          <w:tab/>
        </w:r>
        <w:r>
          <w:rPr>
            <w:noProof/>
            <w:webHidden/>
          </w:rPr>
          <w:fldChar w:fldCharType="begin"/>
        </w:r>
        <w:r>
          <w:rPr>
            <w:noProof/>
            <w:webHidden/>
          </w:rPr>
          <w:instrText xml:space="preserve"> PAGEREF _Toc474484768 \h </w:instrText>
        </w:r>
        <w:r>
          <w:rPr>
            <w:noProof/>
            <w:webHidden/>
          </w:rPr>
        </w:r>
        <w:r>
          <w:rPr>
            <w:noProof/>
            <w:webHidden/>
          </w:rPr>
          <w:fldChar w:fldCharType="separate"/>
        </w:r>
        <w:r w:rsidR="00E7249B">
          <w:rPr>
            <w:noProof/>
            <w:webHidden/>
          </w:rPr>
          <w:t>4</w:t>
        </w:r>
        <w:r>
          <w:rPr>
            <w:noProof/>
            <w:webHidden/>
          </w:rPr>
          <w:fldChar w:fldCharType="end"/>
        </w:r>
      </w:hyperlink>
    </w:p>
    <w:p w:rsidR="0029282C" w:rsidRDefault="0029282C">
      <w:pPr>
        <w:pStyle w:val="TDC1"/>
        <w:tabs>
          <w:tab w:val="right" w:leader="dot" w:pos="10000"/>
        </w:tabs>
        <w:rPr>
          <w:rFonts w:asciiTheme="minorHAnsi" w:eastAsiaTheme="minorEastAsia" w:hAnsiTheme="minorHAnsi"/>
          <w:b w:val="0"/>
          <w:smallCaps w:val="0"/>
          <w:noProof/>
          <w:sz w:val="22"/>
          <w:lang w:eastAsia="es-ES"/>
        </w:rPr>
      </w:pPr>
      <w:hyperlink w:anchor="_Toc474484769" w:history="1">
        <w:r w:rsidRPr="00703B16">
          <w:rPr>
            <w:rStyle w:val="Hipervnculo"/>
            <w:noProof/>
          </w:rPr>
          <w:t>6.</w:t>
        </w:r>
        <w:r>
          <w:rPr>
            <w:rFonts w:asciiTheme="minorHAnsi" w:eastAsiaTheme="minorEastAsia" w:hAnsiTheme="minorHAnsi"/>
            <w:b w:val="0"/>
            <w:smallCaps w:val="0"/>
            <w:noProof/>
            <w:sz w:val="22"/>
            <w:lang w:eastAsia="es-ES"/>
          </w:rPr>
          <w:tab/>
        </w:r>
        <w:r w:rsidRPr="00703B16">
          <w:rPr>
            <w:rStyle w:val="Hipervnculo"/>
            <w:noProof/>
          </w:rPr>
          <w:t>Precios descompuestos por capítulos</w:t>
        </w:r>
        <w:r>
          <w:rPr>
            <w:noProof/>
            <w:webHidden/>
          </w:rPr>
          <w:tab/>
        </w:r>
        <w:r>
          <w:rPr>
            <w:noProof/>
            <w:webHidden/>
          </w:rPr>
          <w:fldChar w:fldCharType="begin"/>
        </w:r>
        <w:r>
          <w:rPr>
            <w:noProof/>
            <w:webHidden/>
          </w:rPr>
          <w:instrText xml:space="preserve"> PAGEREF _Toc474484769 \h </w:instrText>
        </w:r>
        <w:r>
          <w:rPr>
            <w:noProof/>
            <w:webHidden/>
          </w:rPr>
        </w:r>
        <w:r>
          <w:rPr>
            <w:noProof/>
            <w:webHidden/>
          </w:rPr>
          <w:fldChar w:fldCharType="separate"/>
        </w:r>
        <w:r w:rsidR="00E7249B">
          <w:rPr>
            <w:noProof/>
            <w:webHidden/>
          </w:rPr>
          <w:t>4</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5324F8" w:rsidP="00DD73FC">
      <w:pPr>
        <w:jc w:val="center"/>
        <w:rPr>
          <w:b/>
          <w:sz w:val="28"/>
          <w:u w:val="single"/>
        </w:rPr>
      </w:pPr>
      <w:r>
        <w:rPr>
          <w:b/>
          <w:sz w:val="28"/>
          <w:u w:val="single"/>
        </w:rPr>
        <w:t>Anejo Nº. 18</w:t>
      </w:r>
      <w:r w:rsidRPr="00EC1D79">
        <w:rPr>
          <w:b/>
          <w:sz w:val="28"/>
          <w:u w:val="single"/>
        </w:rPr>
        <w:t xml:space="preserve"> </w:t>
      </w:r>
      <w:r>
        <w:rPr>
          <w:b/>
          <w:sz w:val="28"/>
          <w:u w:val="single"/>
        </w:rPr>
        <w:t>–</w:t>
      </w:r>
      <w:r w:rsidRPr="00EC1D79">
        <w:rPr>
          <w:b/>
          <w:sz w:val="28"/>
          <w:u w:val="single"/>
        </w:rPr>
        <w:t xml:space="preserve"> </w:t>
      </w:r>
      <w:r>
        <w:rPr>
          <w:b/>
          <w:sz w:val="28"/>
          <w:u w:val="single"/>
        </w:rPr>
        <w:t>JUSTIFICACIÓN DE PRECIOS</w:t>
      </w:r>
    </w:p>
    <w:p w:rsidR="00DD73FC" w:rsidRDefault="00DD73FC" w:rsidP="00DD73FC"/>
    <w:p w:rsidR="005324F8" w:rsidRDefault="005324F8" w:rsidP="005324F8">
      <w:pPr>
        <w:pStyle w:val="TTULO01"/>
      </w:pPr>
      <w:bookmarkStart w:id="1" w:name="_Toc263408656"/>
      <w:bookmarkStart w:id="2" w:name="_Toc256678510"/>
      <w:bookmarkStart w:id="3" w:name="_Toc243976053"/>
      <w:bookmarkStart w:id="4" w:name="_Toc233176516"/>
      <w:bookmarkStart w:id="5" w:name="_Toc231805911"/>
      <w:bookmarkStart w:id="6" w:name="_Toc462164213"/>
      <w:bookmarkStart w:id="7" w:name="_Toc474484761"/>
      <w:r>
        <w:t>1.</w:t>
      </w:r>
      <w:r>
        <w:tab/>
        <w:t>Introducción</w:t>
      </w:r>
      <w:bookmarkEnd w:id="1"/>
      <w:bookmarkEnd w:id="2"/>
      <w:bookmarkEnd w:id="3"/>
      <w:bookmarkEnd w:id="4"/>
      <w:bookmarkEnd w:id="5"/>
      <w:bookmarkEnd w:id="6"/>
      <w:bookmarkEnd w:id="7"/>
    </w:p>
    <w:p w:rsidR="005324F8" w:rsidRDefault="005324F8" w:rsidP="005324F8">
      <w:pPr>
        <w:pStyle w:val="NORMAL0"/>
      </w:pPr>
      <w:r>
        <w:t>Para el cálculo de los precios de las distintas unidades de obra, se han determinado sus costes directos e indirectos.</w:t>
      </w:r>
    </w:p>
    <w:p w:rsidR="005324F8" w:rsidRDefault="005324F8" w:rsidP="005324F8">
      <w:pPr>
        <w:pStyle w:val="NORMAL0"/>
      </w:pPr>
      <w:r>
        <w:t>Los precios se obtienen mediante la aplicación de la fórmula siguiente:</w:t>
      </w:r>
    </w:p>
    <w:p w:rsidR="005324F8" w:rsidRDefault="005324F8" w:rsidP="005324F8">
      <w:pPr>
        <w:pStyle w:val="Normal3"/>
        <w:jc w:val="center"/>
      </w:pPr>
      <w:r>
        <w:rPr>
          <w:position w:val="-28"/>
        </w:rPr>
        <w:object w:dxaOrig="1905"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pt;height:32.75pt" o:ole="">
            <v:imagedata r:id="rId9" o:title=""/>
          </v:shape>
          <o:OLEObject Type="Embed" ProgID="Equation.DSMT4" ShapeID="_x0000_i1025" DrawAspect="Content" ObjectID="_1548226660" r:id="rId10"/>
        </w:object>
      </w:r>
      <w:r>
        <w:t>, donde:</w:t>
      </w:r>
    </w:p>
    <w:p w:rsidR="005324F8" w:rsidRDefault="005324F8" w:rsidP="005324F8">
      <w:pPr>
        <w:spacing w:after="0"/>
        <w:ind w:left="907" w:hanging="340"/>
      </w:pPr>
      <w:r>
        <w:sym w:font="Wingdings" w:char="F0A0"/>
      </w:r>
      <w:r>
        <w:tab/>
      </w:r>
      <w:r>
        <w:rPr>
          <w:i/>
        </w:rPr>
        <w:t>P</w:t>
      </w:r>
      <w:r>
        <w:rPr>
          <w:i/>
          <w:vertAlign w:val="subscript"/>
        </w:rPr>
        <w:t>e</w:t>
      </w:r>
      <w:r>
        <w:t xml:space="preserve"> es el precio de ejecución material de la unidad correspondiente en euros.</w:t>
      </w:r>
    </w:p>
    <w:p w:rsidR="005324F8" w:rsidRDefault="005324F8" w:rsidP="005324F8">
      <w:pPr>
        <w:spacing w:after="0"/>
        <w:ind w:left="907" w:hanging="340"/>
      </w:pPr>
      <w:r>
        <w:sym w:font="Wingdings" w:char="F0A0"/>
      </w:r>
      <w:r>
        <w:tab/>
      </w:r>
      <w:r>
        <w:rPr>
          <w:i/>
        </w:rPr>
        <w:t>K</w:t>
      </w:r>
      <w:r>
        <w:t xml:space="preserve"> es el porcentaje que corresponde a los “</w:t>
      </w:r>
      <w:r>
        <w:rPr>
          <w:i/>
        </w:rPr>
        <w:t>Costes indirectos</w:t>
      </w:r>
      <w:r>
        <w:t>”.</w:t>
      </w:r>
    </w:p>
    <w:p w:rsidR="005324F8" w:rsidRDefault="005324F8" w:rsidP="005324F8">
      <w:pPr>
        <w:ind w:left="907" w:hanging="340"/>
      </w:pPr>
      <w:r>
        <w:sym w:font="Wingdings" w:char="F0A0"/>
      </w:r>
      <w:r>
        <w:tab/>
      </w:r>
      <w:r>
        <w:rPr>
          <w:i/>
        </w:rPr>
        <w:t>C</w:t>
      </w:r>
      <w:r>
        <w:rPr>
          <w:i/>
          <w:vertAlign w:val="subscript"/>
        </w:rPr>
        <w:t>d</w:t>
      </w:r>
      <w:r>
        <w:t xml:space="preserve"> es el “</w:t>
      </w:r>
      <w:r>
        <w:rPr>
          <w:i/>
        </w:rPr>
        <w:t>Coste directo</w:t>
      </w:r>
      <w:r>
        <w:t>” de la unidad en euros.</w:t>
      </w:r>
    </w:p>
    <w:p w:rsidR="005324F8" w:rsidRDefault="005324F8" w:rsidP="005324F8"/>
    <w:p w:rsidR="005324F8" w:rsidRDefault="005324F8" w:rsidP="005324F8">
      <w:pPr>
        <w:pStyle w:val="TTULO02"/>
      </w:pPr>
      <w:bookmarkStart w:id="8" w:name="_Toc263408657"/>
      <w:bookmarkStart w:id="9" w:name="_Toc256678511"/>
      <w:bookmarkStart w:id="10" w:name="_Toc243976054"/>
      <w:bookmarkStart w:id="11" w:name="_Toc233176517"/>
      <w:bookmarkStart w:id="12" w:name="_Toc231805912"/>
      <w:bookmarkStart w:id="13" w:name="_Toc462164214"/>
      <w:bookmarkStart w:id="14" w:name="_Toc474484762"/>
      <w:r>
        <w:t>1.1.</w:t>
      </w:r>
      <w:r>
        <w:tab/>
        <w:t>Costes directos</w:t>
      </w:r>
      <w:bookmarkEnd w:id="8"/>
      <w:bookmarkEnd w:id="9"/>
      <w:bookmarkEnd w:id="10"/>
      <w:bookmarkEnd w:id="11"/>
      <w:bookmarkEnd w:id="12"/>
      <w:bookmarkEnd w:id="13"/>
      <w:bookmarkEnd w:id="14"/>
    </w:p>
    <w:p w:rsidR="005324F8" w:rsidRDefault="005324F8" w:rsidP="005324F8">
      <w:pPr>
        <w:pStyle w:val="NORMAL0"/>
      </w:pPr>
      <w:r>
        <w:t>Se consideran “</w:t>
      </w:r>
      <w:r>
        <w:rPr>
          <w:i/>
        </w:rPr>
        <w:t>Costes directos</w:t>
      </w:r>
      <w:r>
        <w:t>”:</w:t>
      </w:r>
    </w:p>
    <w:p w:rsidR="005324F8" w:rsidRDefault="005324F8" w:rsidP="005324F8">
      <w:pPr>
        <w:ind w:left="907" w:hanging="340"/>
      </w:pPr>
      <w:r>
        <w:sym w:font="Wingdings" w:char="F0D8"/>
      </w:r>
      <w:r>
        <w:tab/>
        <w:t>La mano de obra, con sus pluses, cargos y seguros sociales, que intervienen directamente en la ejecución de la unidad de obra.</w:t>
      </w:r>
    </w:p>
    <w:p w:rsidR="005324F8" w:rsidRDefault="005324F8" w:rsidP="005324F8">
      <w:pPr>
        <w:ind w:left="907" w:hanging="340"/>
      </w:pPr>
      <w:r>
        <w:sym w:font="Wingdings" w:char="F0D8"/>
      </w:r>
      <w:r>
        <w:tab/>
        <w:t>Los materiales a los precios resultantes a pie de obra que quedan integrados en la unidad o que sean necesarios para su ejecución.</w:t>
      </w:r>
    </w:p>
    <w:p w:rsidR="005324F8" w:rsidRDefault="005324F8" w:rsidP="005324F8">
      <w:pPr>
        <w:ind w:left="907" w:hanging="340"/>
      </w:pPr>
      <w:r>
        <w:sym w:font="Wingdings" w:char="F0D8"/>
      </w:r>
      <w:r>
        <w:tab/>
        <w:t>Los gastos de amortización y conservación de la maquinaría, así como los gastos del personal, combustible, energía, etc…, que tengan lugar por el accionamiento o funcionamiento de la maquinaria.</w:t>
      </w:r>
    </w:p>
    <w:p w:rsidR="005324F8" w:rsidRDefault="005324F8" w:rsidP="005324F8"/>
    <w:p w:rsidR="005324F8" w:rsidRDefault="005324F8" w:rsidP="005324F8">
      <w:pPr>
        <w:pStyle w:val="TTULO02"/>
      </w:pPr>
      <w:bookmarkStart w:id="15" w:name="_Toc263408658"/>
      <w:bookmarkStart w:id="16" w:name="_Toc256678512"/>
      <w:bookmarkStart w:id="17" w:name="_Toc243976055"/>
      <w:bookmarkStart w:id="18" w:name="_Toc233176518"/>
      <w:bookmarkStart w:id="19" w:name="_Toc231805913"/>
      <w:bookmarkStart w:id="20" w:name="_Toc462164215"/>
      <w:bookmarkStart w:id="21" w:name="_Toc474484763"/>
      <w:r>
        <w:t>1.2.</w:t>
      </w:r>
      <w:r>
        <w:tab/>
        <w:t>Costes indirectos</w:t>
      </w:r>
      <w:bookmarkEnd w:id="15"/>
      <w:bookmarkEnd w:id="16"/>
      <w:bookmarkEnd w:id="17"/>
      <w:bookmarkEnd w:id="18"/>
      <w:bookmarkEnd w:id="19"/>
      <w:bookmarkEnd w:id="20"/>
      <w:bookmarkEnd w:id="21"/>
    </w:p>
    <w:p w:rsidR="005324F8" w:rsidRDefault="005324F8" w:rsidP="005324F8">
      <w:r>
        <w:t>Son todos aquellos gastos que no son imputables directamente a unidades concretas sino al conjunto de la obra, tales como: instalaciones de oficina a pie de obra, almacenes, talleres, pabellones para obreros, etc…, así como los derivados del personal técnico y administrativo, adscrito exclusivamente a la obra y que no intervenga directamente en la ejecución de unidades concretas, tales como jefes de obra, encargados, pagadores, vigilantes a pie de obra, etc...</w:t>
      </w:r>
    </w:p>
    <w:p w:rsidR="005324F8" w:rsidRDefault="005324F8" w:rsidP="005324F8">
      <w:r>
        <w:t>Quedan incluidas en los costes indirectos las partes correspondientes a vigilancia a pie de obra y al control de calidad.</w:t>
      </w:r>
    </w:p>
    <w:p w:rsidR="005324F8" w:rsidRDefault="005324F8" w:rsidP="005324F8">
      <w:r>
        <w:t>El valor “</w:t>
      </w:r>
      <w:r>
        <w:rPr>
          <w:i/>
        </w:rPr>
        <w:t>K</w:t>
      </w:r>
      <w:r>
        <w:t>” al que se alude anteriormente, está compuesto por cuatro sumandos:</w:t>
      </w:r>
    </w:p>
    <w:p w:rsidR="005324F8" w:rsidRDefault="005324F8" w:rsidP="005324F8">
      <w:pPr>
        <w:jc w:val="center"/>
      </w:pPr>
      <w:r>
        <w:rPr>
          <w:rFonts w:eastAsia="Calibri" w:cs="Times New Roman"/>
          <w:position w:val="-12"/>
        </w:rPr>
        <w:object w:dxaOrig="1725" w:dyaOrig="360">
          <v:shape id="_x0000_i1026" type="#_x0000_t75" style="width:86.05pt;height:17.75pt" o:ole="">
            <v:imagedata r:id="rId11" o:title=""/>
          </v:shape>
          <o:OLEObject Type="Embed" ProgID="Equation.DSMT4" ShapeID="_x0000_i1026" DrawAspect="Content" ObjectID="_1548226661" r:id="rId12"/>
        </w:object>
      </w:r>
    </w:p>
    <w:p w:rsidR="005324F8" w:rsidRDefault="005324F8" w:rsidP="005324F8">
      <w:r>
        <w:t>El primero, “</w:t>
      </w:r>
      <w:r>
        <w:rPr>
          <w:i/>
        </w:rPr>
        <w:t>K</w:t>
      </w:r>
      <w:r>
        <w:rPr>
          <w:i/>
          <w:vertAlign w:val="subscript"/>
        </w:rPr>
        <w:t>1</w:t>
      </w:r>
      <w:r>
        <w:t>”, es el porcentaje que resulta de la relación entre la valoración de los costes indirectos y el importe de los costes directos.</w:t>
      </w:r>
    </w:p>
    <w:p w:rsidR="005324F8" w:rsidRDefault="005324F8" w:rsidP="005324F8">
      <w:pPr>
        <w:jc w:val="center"/>
      </w:pPr>
      <w:r>
        <w:rPr>
          <w:rFonts w:eastAsia="Calibri" w:cs="Times New Roman"/>
          <w:position w:val="-24"/>
        </w:rPr>
        <w:object w:dxaOrig="2205" w:dyaOrig="615">
          <v:shape id="_x0000_i1027" type="#_x0000_t75" style="width:111.25pt;height:31.8pt" o:ole="">
            <v:imagedata r:id="rId13" o:title=""/>
          </v:shape>
          <o:OLEObject Type="Embed" ProgID="Equation.DSMT4" ShapeID="_x0000_i1027" DrawAspect="Content" ObjectID="_1548226662" r:id="rId14"/>
        </w:object>
      </w:r>
    </w:p>
    <w:p w:rsidR="005324F8" w:rsidRDefault="005324F8" w:rsidP="005324F8">
      <w:r>
        <w:t>El tercero, “</w:t>
      </w:r>
      <w:r>
        <w:rPr>
          <w:i/>
        </w:rPr>
        <w:t>K</w:t>
      </w:r>
      <w:r>
        <w:rPr>
          <w:i/>
          <w:vertAlign w:val="subscript"/>
        </w:rPr>
        <w:t>2</w:t>
      </w:r>
      <w:r>
        <w:t>”, es el porcentaje correspondiente a gastos imputables a control de calidad, valorado en un 1%.</w:t>
      </w:r>
    </w:p>
    <w:p w:rsidR="005324F8" w:rsidRDefault="005324F8" w:rsidP="005324F8">
      <w:r>
        <w:t>El tercero, “</w:t>
      </w:r>
      <w:r>
        <w:rPr>
          <w:i/>
        </w:rPr>
        <w:t>K</w:t>
      </w:r>
      <w:r>
        <w:rPr>
          <w:i/>
          <w:vertAlign w:val="subscript"/>
        </w:rPr>
        <w:t>3</w:t>
      </w:r>
      <w:r>
        <w:t>”, es el porcentaje correspondiente a los imprevistos, que variará según se trate de obra terrestre (1%), fluvial (2%) o marítima (3%).</w:t>
      </w:r>
    </w:p>
    <w:p w:rsidR="005324F8" w:rsidRDefault="005324F8" w:rsidP="005324F8"/>
    <w:p w:rsidR="005324F8" w:rsidRDefault="005324F8" w:rsidP="005324F8">
      <w:pPr>
        <w:pStyle w:val="TTULO01"/>
      </w:pPr>
      <w:bookmarkStart w:id="22" w:name="_Toc263408659"/>
      <w:bookmarkStart w:id="23" w:name="_Toc256678513"/>
      <w:bookmarkStart w:id="24" w:name="_Toc243976056"/>
      <w:bookmarkStart w:id="25" w:name="_Toc233176519"/>
      <w:bookmarkStart w:id="26" w:name="_Toc231805914"/>
      <w:bookmarkStart w:id="27" w:name="_Toc462164216"/>
      <w:bookmarkStart w:id="28" w:name="_Toc474484764"/>
      <w:r>
        <w:t>2.</w:t>
      </w:r>
      <w:r>
        <w:tab/>
        <w:t xml:space="preserve">Coste de la </w:t>
      </w:r>
      <w:r w:rsidRPr="00DD7455">
        <w:t>mano</w:t>
      </w:r>
      <w:r>
        <w:t xml:space="preserve"> de obra en la zona</w:t>
      </w:r>
      <w:bookmarkEnd w:id="22"/>
      <w:bookmarkEnd w:id="23"/>
      <w:bookmarkEnd w:id="24"/>
      <w:bookmarkEnd w:id="25"/>
      <w:bookmarkEnd w:id="26"/>
      <w:bookmarkEnd w:id="27"/>
      <w:bookmarkEnd w:id="28"/>
    </w:p>
    <w:p w:rsidR="005324F8" w:rsidRDefault="005324F8" w:rsidP="005324F8">
      <w:r>
        <w:t>Los datos considerados para la obtención de los costes horarios, y que se incluyen a continuación, se han obtenido del Convenio Colectivo del sector de la construcción del año 2.012, actualizadas conforme al Acta del acuerdo de incremento salarial para el año 2017 del V Convenio colectivo general del sector de la construcción.</w:t>
      </w:r>
    </w:p>
    <w:p w:rsidR="005324F8" w:rsidRDefault="005324F8" w:rsidP="005324F8">
      <w:r>
        <w:t>En los siguientes cuadros se muestran las tablas salariales recogidas en dicho convenio, indicando el coste total horario para la empresa, en función de las distintas categorías profesionales.</w:t>
      </w:r>
    </w:p>
    <w:p w:rsidR="005324F8" w:rsidRDefault="005324F8" w:rsidP="005324F8">
      <w:pPr>
        <w:pStyle w:val="Normal3"/>
      </w:pPr>
    </w:p>
    <w:p w:rsidR="005324F8" w:rsidRDefault="005324F8" w:rsidP="005324F8">
      <w:pPr>
        <w:pStyle w:val="TTULO02"/>
      </w:pPr>
      <w:bookmarkStart w:id="29" w:name="_Toc263408660"/>
      <w:bookmarkStart w:id="30" w:name="_Toc256678514"/>
      <w:bookmarkStart w:id="31" w:name="_Toc243976057"/>
      <w:bookmarkStart w:id="32" w:name="_Toc233176520"/>
      <w:bookmarkStart w:id="33" w:name="_Toc231805915"/>
      <w:bookmarkStart w:id="34" w:name="_Toc462164217"/>
      <w:bookmarkStart w:id="35" w:name="_Toc474484765"/>
      <w:r>
        <w:t>2.1.</w:t>
      </w:r>
      <w:r>
        <w:tab/>
        <w:t>Tabla del coste de la mano de obra empleada</w:t>
      </w:r>
      <w:bookmarkEnd w:id="29"/>
      <w:bookmarkEnd w:id="30"/>
      <w:bookmarkEnd w:id="31"/>
      <w:bookmarkEnd w:id="32"/>
      <w:bookmarkEnd w:id="33"/>
      <w:bookmarkEnd w:id="34"/>
      <w:bookmarkEnd w:id="35"/>
    </w:p>
    <w:p w:rsidR="005324F8" w:rsidRDefault="005324F8" w:rsidP="005324F8">
      <w:r>
        <w:t>Los costes de la mano de obra empleada son los siguientes:</w:t>
      </w:r>
    </w:p>
    <w:tbl>
      <w:tblPr>
        <w:tblW w:w="5000" w:type="pct"/>
        <w:tblBorders>
          <w:top w:val="single" w:sz="12" w:space="0" w:color="008000"/>
          <w:bottom w:val="single" w:sz="12" w:space="0" w:color="008000"/>
        </w:tblBorders>
        <w:tblLook w:val="04A0" w:firstRow="1" w:lastRow="0" w:firstColumn="1" w:lastColumn="0" w:noHBand="0" w:noVBand="1"/>
      </w:tblPr>
      <w:tblGrid>
        <w:gridCol w:w="487"/>
        <w:gridCol w:w="1430"/>
        <w:gridCol w:w="929"/>
        <w:gridCol w:w="927"/>
        <w:gridCol w:w="929"/>
        <w:gridCol w:w="919"/>
        <w:gridCol w:w="1071"/>
        <w:gridCol w:w="753"/>
        <w:gridCol w:w="939"/>
        <w:gridCol w:w="694"/>
        <w:gridCol w:w="932"/>
      </w:tblGrid>
      <w:tr w:rsidR="005324F8" w:rsidTr="005324F8">
        <w:trPr>
          <w:trHeight w:val="284"/>
          <w:tblHeader/>
        </w:trPr>
        <w:tc>
          <w:tcPr>
            <w:tcW w:w="777" w:type="pct"/>
            <w:gridSpan w:val="2"/>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CATEGORÍA</w:t>
            </w:r>
          </w:p>
        </w:tc>
        <w:tc>
          <w:tcPr>
            <w:tcW w:w="485"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SALARIO</w:t>
            </w:r>
          </w:p>
          <w:p w:rsidR="005324F8" w:rsidRDefault="005324F8" w:rsidP="005324F8">
            <w:pPr>
              <w:spacing w:after="0" w:line="240" w:lineRule="auto"/>
              <w:jc w:val="center"/>
              <w:rPr>
                <w:b/>
                <w:noProof/>
                <w:sz w:val="18"/>
                <w:szCs w:val="20"/>
              </w:rPr>
            </w:pPr>
            <w:r>
              <w:rPr>
                <w:b/>
                <w:noProof/>
                <w:sz w:val="18"/>
                <w:szCs w:val="20"/>
              </w:rPr>
              <w:t>BASE DIA</w:t>
            </w:r>
          </w:p>
        </w:tc>
        <w:tc>
          <w:tcPr>
            <w:tcW w:w="483"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PAGA</w:t>
            </w:r>
          </w:p>
          <w:p w:rsidR="005324F8" w:rsidRDefault="005324F8" w:rsidP="005324F8">
            <w:pPr>
              <w:spacing w:after="0" w:line="240" w:lineRule="auto"/>
              <w:jc w:val="center"/>
              <w:rPr>
                <w:b/>
                <w:noProof/>
                <w:sz w:val="18"/>
                <w:szCs w:val="20"/>
              </w:rPr>
            </w:pPr>
            <w:r>
              <w:rPr>
                <w:b/>
                <w:noProof/>
                <w:sz w:val="18"/>
                <w:szCs w:val="20"/>
              </w:rPr>
              <w:t>EXTRA</w:t>
            </w:r>
          </w:p>
          <w:p w:rsidR="005324F8" w:rsidRDefault="005324F8" w:rsidP="005324F8">
            <w:pPr>
              <w:spacing w:after="0" w:line="240" w:lineRule="auto"/>
              <w:jc w:val="center"/>
              <w:rPr>
                <w:b/>
                <w:noProof/>
                <w:sz w:val="18"/>
                <w:szCs w:val="20"/>
              </w:rPr>
            </w:pPr>
            <w:r>
              <w:rPr>
                <w:b/>
                <w:noProof/>
                <w:sz w:val="18"/>
                <w:szCs w:val="20"/>
              </w:rPr>
              <w:t>JUNIO</w:t>
            </w:r>
          </w:p>
        </w:tc>
        <w:tc>
          <w:tcPr>
            <w:tcW w:w="484"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PAGA</w:t>
            </w:r>
          </w:p>
          <w:p w:rsidR="005324F8" w:rsidRDefault="005324F8" w:rsidP="005324F8">
            <w:pPr>
              <w:spacing w:after="0" w:line="240" w:lineRule="auto"/>
              <w:jc w:val="center"/>
              <w:rPr>
                <w:b/>
                <w:noProof/>
                <w:sz w:val="18"/>
                <w:szCs w:val="20"/>
              </w:rPr>
            </w:pPr>
            <w:r>
              <w:rPr>
                <w:b/>
                <w:noProof/>
                <w:sz w:val="18"/>
                <w:szCs w:val="20"/>
              </w:rPr>
              <w:t>EXTRA</w:t>
            </w:r>
          </w:p>
          <w:p w:rsidR="005324F8" w:rsidRDefault="005324F8" w:rsidP="005324F8">
            <w:pPr>
              <w:spacing w:after="0" w:line="240" w:lineRule="auto"/>
              <w:jc w:val="center"/>
              <w:rPr>
                <w:b/>
                <w:noProof/>
                <w:sz w:val="18"/>
                <w:szCs w:val="20"/>
              </w:rPr>
            </w:pPr>
            <w:r>
              <w:rPr>
                <w:b/>
                <w:noProof/>
                <w:sz w:val="18"/>
                <w:szCs w:val="20"/>
              </w:rPr>
              <w:t>DIC.</w:t>
            </w:r>
          </w:p>
        </w:tc>
        <w:tc>
          <w:tcPr>
            <w:tcW w:w="470"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PAGA DE</w:t>
            </w:r>
          </w:p>
          <w:p w:rsidR="005324F8" w:rsidRDefault="005324F8" w:rsidP="005324F8">
            <w:pPr>
              <w:spacing w:after="0" w:line="240" w:lineRule="auto"/>
              <w:jc w:val="center"/>
              <w:rPr>
                <w:b/>
                <w:noProof/>
                <w:sz w:val="18"/>
                <w:szCs w:val="20"/>
              </w:rPr>
            </w:pPr>
            <w:r>
              <w:rPr>
                <w:b/>
                <w:noProof/>
                <w:sz w:val="18"/>
                <w:szCs w:val="20"/>
              </w:rPr>
              <w:t>VACAC.</w:t>
            </w:r>
          </w:p>
        </w:tc>
        <w:tc>
          <w:tcPr>
            <w:tcW w:w="564"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COSTE</w:t>
            </w:r>
          </w:p>
          <w:p w:rsidR="005324F8" w:rsidRDefault="005324F8" w:rsidP="005324F8">
            <w:pPr>
              <w:spacing w:after="0" w:line="240" w:lineRule="auto"/>
              <w:jc w:val="center"/>
              <w:rPr>
                <w:b/>
                <w:noProof/>
                <w:sz w:val="18"/>
                <w:szCs w:val="20"/>
              </w:rPr>
            </w:pPr>
            <w:r>
              <w:rPr>
                <w:b/>
                <w:noProof/>
                <w:sz w:val="18"/>
                <w:szCs w:val="20"/>
              </w:rPr>
              <w:t>ANUAL</w:t>
            </w:r>
          </w:p>
        </w:tc>
        <w:tc>
          <w:tcPr>
            <w:tcW w:w="396"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HORAS</w:t>
            </w:r>
          </w:p>
          <w:p w:rsidR="005324F8" w:rsidRDefault="005324F8" w:rsidP="005324F8">
            <w:pPr>
              <w:spacing w:after="0" w:line="240" w:lineRule="auto"/>
              <w:jc w:val="center"/>
              <w:rPr>
                <w:b/>
                <w:noProof/>
                <w:sz w:val="18"/>
                <w:szCs w:val="20"/>
              </w:rPr>
            </w:pPr>
            <w:r>
              <w:rPr>
                <w:b/>
                <w:noProof/>
                <w:sz w:val="18"/>
                <w:szCs w:val="20"/>
              </w:rPr>
              <w:t>NETAS</w:t>
            </w:r>
          </w:p>
        </w:tc>
        <w:tc>
          <w:tcPr>
            <w:tcW w:w="489"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COSTE</w:t>
            </w:r>
          </w:p>
          <w:p w:rsidR="005324F8" w:rsidRDefault="005324F8" w:rsidP="005324F8">
            <w:pPr>
              <w:spacing w:after="0" w:line="240" w:lineRule="auto"/>
              <w:jc w:val="center"/>
              <w:rPr>
                <w:b/>
                <w:noProof/>
                <w:sz w:val="18"/>
                <w:szCs w:val="20"/>
              </w:rPr>
            </w:pPr>
            <w:r>
              <w:rPr>
                <w:b/>
                <w:noProof/>
                <w:sz w:val="18"/>
                <w:szCs w:val="20"/>
              </w:rPr>
              <w:t>HORARIO</w:t>
            </w:r>
          </w:p>
        </w:tc>
        <w:tc>
          <w:tcPr>
            <w:tcW w:w="366"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PLUS</w:t>
            </w:r>
          </w:p>
          <w:p w:rsidR="005324F8" w:rsidRDefault="005324F8" w:rsidP="005324F8">
            <w:pPr>
              <w:spacing w:after="0" w:line="240" w:lineRule="auto"/>
              <w:jc w:val="center"/>
              <w:rPr>
                <w:b/>
                <w:noProof/>
                <w:sz w:val="18"/>
                <w:szCs w:val="20"/>
              </w:rPr>
            </w:pPr>
            <w:r>
              <w:rPr>
                <w:b/>
                <w:noProof/>
                <w:sz w:val="18"/>
                <w:szCs w:val="20"/>
              </w:rPr>
              <w:t>ASIST.</w:t>
            </w:r>
          </w:p>
        </w:tc>
        <w:tc>
          <w:tcPr>
            <w:tcW w:w="485" w:type="pc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szCs w:val="20"/>
              </w:rPr>
            </w:pPr>
            <w:r>
              <w:rPr>
                <w:b/>
                <w:noProof/>
                <w:sz w:val="18"/>
                <w:szCs w:val="20"/>
              </w:rPr>
              <w:t>TOTAL</w:t>
            </w:r>
          </w:p>
          <w:p w:rsidR="005324F8" w:rsidRDefault="005324F8" w:rsidP="005324F8">
            <w:pPr>
              <w:spacing w:after="0" w:line="240" w:lineRule="auto"/>
              <w:jc w:val="center"/>
              <w:rPr>
                <w:b/>
                <w:noProof/>
                <w:sz w:val="18"/>
                <w:szCs w:val="20"/>
              </w:rPr>
            </w:pPr>
            <w:r>
              <w:rPr>
                <w:b/>
                <w:noProof/>
                <w:sz w:val="18"/>
                <w:szCs w:val="20"/>
              </w:rPr>
              <w:t>COSTE</w:t>
            </w:r>
          </w:p>
          <w:p w:rsidR="005324F8" w:rsidRDefault="005324F8" w:rsidP="005324F8">
            <w:pPr>
              <w:spacing w:after="0" w:line="240" w:lineRule="auto"/>
              <w:jc w:val="center"/>
              <w:rPr>
                <w:b/>
                <w:noProof/>
                <w:sz w:val="18"/>
                <w:szCs w:val="20"/>
              </w:rPr>
            </w:pPr>
            <w:r>
              <w:rPr>
                <w:b/>
                <w:noProof/>
                <w:sz w:val="18"/>
                <w:szCs w:val="20"/>
              </w:rPr>
              <w:t>HORARIO</w:t>
            </w:r>
          </w:p>
          <w:p w:rsidR="005324F8" w:rsidRDefault="005324F8" w:rsidP="005324F8">
            <w:pPr>
              <w:spacing w:after="0" w:line="240" w:lineRule="auto"/>
              <w:jc w:val="center"/>
              <w:rPr>
                <w:b/>
                <w:noProof/>
                <w:sz w:val="18"/>
                <w:szCs w:val="20"/>
              </w:rPr>
            </w:pPr>
            <w:r>
              <w:rPr>
                <w:b/>
                <w:noProof/>
                <w:sz w:val="18"/>
                <w:szCs w:val="20"/>
              </w:rPr>
              <w:t>"A"</w:t>
            </w:r>
          </w:p>
        </w:tc>
      </w:tr>
      <w:tr w:rsidR="005324F8" w:rsidTr="005324F8">
        <w:trPr>
          <w:trHeight w:val="284"/>
        </w:trPr>
        <w:tc>
          <w:tcPr>
            <w:tcW w:w="262" w:type="pct"/>
            <w:tcBorders>
              <w:top w:val="single" w:sz="12" w:space="0" w:color="auto"/>
              <w:left w:val="nil"/>
              <w:bottom w:val="nil"/>
              <w:right w:val="nil"/>
            </w:tcBorders>
            <w:noWrap/>
            <w:vAlign w:val="center"/>
            <w:hideMark/>
          </w:tcPr>
          <w:p w:rsidR="005324F8" w:rsidRDefault="005324F8" w:rsidP="005324F8">
            <w:pPr>
              <w:spacing w:after="0" w:line="240" w:lineRule="auto"/>
              <w:jc w:val="center"/>
              <w:rPr>
                <w:noProof/>
                <w:sz w:val="24"/>
                <w:szCs w:val="24"/>
              </w:rPr>
            </w:pPr>
            <w:r>
              <w:rPr>
                <w:noProof/>
              </w:rPr>
              <w:t>VII</w:t>
            </w:r>
          </w:p>
        </w:tc>
        <w:tc>
          <w:tcPr>
            <w:tcW w:w="515" w:type="pct"/>
            <w:tcBorders>
              <w:top w:val="single" w:sz="12" w:space="0" w:color="auto"/>
              <w:left w:val="nil"/>
              <w:bottom w:val="nil"/>
              <w:right w:val="nil"/>
            </w:tcBorders>
            <w:noWrap/>
            <w:vAlign w:val="center"/>
            <w:hideMark/>
          </w:tcPr>
          <w:p w:rsidR="005324F8" w:rsidRDefault="005324F8" w:rsidP="005324F8">
            <w:pPr>
              <w:spacing w:after="0" w:line="240" w:lineRule="auto"/>
              <w:jc w:val="center"/>
              <w:rPr>
                <w:noProof/>
              </w:rPr>
            </w:pPr>
            <w:r>
              <w:rPr>
                <w:noProof/>
              </w:rPr>
              <w:t>Capataz</w:t>
            </w:r>
          </w:p>
        </w:tc>
        <w:tc>
          <w:tcPr>
            <w:tcW w:w="485"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35,56</w:t>
            </w:r>
          </w:p>
        </w:tc>
        <w:tc>
          <w:tcPr>
            <w:tcW w:w="483"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1.660,64</w:t>
            </w:r>
          </w:p>
        </w:tc>
        <w:tc>
          <w:tcPr>
            <w:tcW w:w="484"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1.660,64</w:t>
            </w:r>
          </w:p>
        </w:tc>
        <w:tc>
          <w:tcPr>
            <w:tcW w:w="470"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1.660,64</w:t>
            </w:r>
          </w:p>
        </w:tc>
        <w:tc>
          <w:tcPr>
            <w:tcW w:w="564"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17.962,09</w:t>
            </w:r>
          </w:p>
        </w:tc>
        <w:tc>
          <w:tcPr>
            <w:tcW w:w="396"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1.531</w:t>
            </w:r>
          </w:p>
        </w:tc>
        <w:tc>
          <w:tcPr>
            <w:tcW w:w="489"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11,73</w:t>
            </w:r>
          </w:p>
        </w:tc>
        <w:tc>
          <w:tcPr>
            <w:tcW w:w="366"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0,69</w:t>
            </w:r>
          </w:p>
        </w:tc>
        <w:tc>
          <w:tcPr>
            <w:tcW w:w="485"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12,42</w:t>
            </w:r>
          </w:p>
        </w:tc>
      </w:tr>
      <w:tr w:rsidR="005324F8" w:rsidTr="005324F8">
        <w:trPr>
          <w:trHeight w:val="284"/>
        </w:trPr>
        <w:tc>
          <w:tcPr>
            <w:tcW w:w="262"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VIII</w:t>
            </w:r>
          </w:p>
        </w:tc>
        <w:tc>
          <w:tcPr>
            <w:tcW w:w="515" w:type="pct"/>
            <w:tcBorders>
              <w:top w:val="nil"/>
              <w:left w:val="nil"/>
              <w:bottom w:val="nil"/>
              <w:right w:val="nil"/>
            </w:tcBorders>
            <w:noWrap/>
            <w:vAlign w:val="center"/>
            <w:hideMark/>
          </w:tcPr>
          <w:p w:rsidR="005324F8" w:rsidRDefault="005324F8" w:rsidP="005324F8">
            <w:pPr>
              <w:spacing w:after="0" w:line="240" w:lineRule="auto"/>
              <w:jc w:val="center"/>
              <w:rPr>
                <w:noProof/>
              </w:rPr>
            </w:pPr>
            <w:r>
              <w:rPr>
                <w:noProof/>
              </w:rPr>
              <w:t>Oficial 1ª</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34,91</w:t>
            </w:r>
          </w:p>
        </w:tc>
        <w:tc>
          <w:tcPr>
            <w:tcW w:w="483" w:type="pct"/>
            <w:tcBorders>
              <w:top w:val="nil"/>
              <w:left w:val="nil"/>
              <w:bottom w:val="nil"/>
              <w:right w:val="nil"/>
            </w:tcBorders>
            <w:noWrap/>
            <w:vAlign w:val="center"/>
            <w:hideMark/>
          </w:tcPr>
          <w:p w:rsidR="005324F8" w:rsidRDefault="005324F8" w:rsidP="005324F8">
            <w:pPr>
              <w:spacing w:after="0" w:line="240" w:lineRule="auto"/>
              <w:jc w:val="center"/>
            </w:pPr>
            <w:r>
              <w:t>1.631,02</w:t>
            </w:r>
          </w:p>
        </w:tc>
        <w:tc>
          <w:tcPr>
            <w:tcW w:w="484" w:type="pct"/>
            <w:tcBorders>
              <w:top w:val="nil"/>
              <w:left w:val="nil"/>
              <w:bottom w:val="nil"/>
              <w:right w:val="nil"/>
            </w:tcBorders>
            <w:noWrap/>
            <w:vAlign w:val="center"/>
            <w:hideMark/>
          </w:tcPr>
          <w:p w:rsidR="005324F8" w:rsidRDefault="005324F8" w:rsidP="005324F8">
            <w:pPr>
              <w:spacing w:after="0" w:line="240" w:lineRule="auto"/>
              <w:jc w:val="center"/>
            </w:pPr>
            <w:r>
              <w:t>1.631,02</w:t>
            </w:r>
          </w:p>
        </w:tc>
        <w:tc>
          <w:tcPr>
            <w:tcW w:w="470" w:type="pct"/>
            <w:tcBorders>
              <w:top w:val="nil"/>
              <w:left w:val="nil"/>
              <w:bottom w:val="nil"/>
              <w:right w:val="nil"/>
            </w:tcBorders>
            <w:noWrap/>
            <w:vAlign w:val="center"/>
            <w:hideMark/>
          </w:tcPr>
          <w:p w:rsidR="005324F8" w:rsidRDefault="005324F8" w:rsidP="005324F8">
            <w:pPr>
              <w:spacing w:after="0" w:line="240" w:lineRule="auto"/>
              <w:jc w:val="center"/>
            </w:pPr>
            <w:r>
              <w:t>1.631,02</w:t>
            </w:r>
          </w:p>
        </w:tc>
        <w:tc>
          <w:tcPr>
            <w:tcW w:w="564" w:type="pct"/>
            <w:tcBorders>
              <w:top w:val="nil"/>
              <w:left w:val="nil"/>
              <w:bottom w:val="nil"/>
              <w:right w:val="nil"/>
            </w:tcBorders>
            <w:noWrap/>
            <w:vAlign w:val="center"/>
            <w:hideMark/>
          </w:tcPr>
          <w:p w:rsidR="005324F8" w:rsidRDefault="005324F8" w:rsidP="005324F8">
            <w:pPr>
              <w:spacing w:after="0" w:line="240" w:lineRule="auto"/>
              <w:jc w:val="center"/>
            </w:pPr>
            <w:r>
              <w:t>17.634,55</w:t>
            </w:r>
          </w:p>
        </w:tc>
        <w:tc>
          <w:tcPr>
            <w:tcW w:w="396" w:type="pct"/>
            <w:tcBorders>
              <w:top w:val="nil"/>
              <w:left w:val="nil"/>
              <w:bottom w:val="nil"/>
              <w:right w:val="nil"/>
            </w:tcBorders>
            <w:noWrap/>
            <w:vAlign w:val="center"/>
            <w:hideMark/>
          </w:tcPr>
          <w:p w:rsidR="005324F8" w:rsidRDefault="005324F8" w:rsidP="005324F8">
            <w:pPr>
              <w:spacing w:after="0" w:line="240" w:lineRule="auto"/>
              <w:jc w:val="center"/>
            </w:pPr>
            <w:r>
              <w:t>1.531</w:t>
            </w:r>
          </w:p>
        </w:tc>
        <w:tc>
          <w:tcPr>
            <w:tcW w:w="489" w:type="pct"/>
            <w:tcBorders>
              <w:top w:val="nil"/>
              <w:left w:val="nil"/>
              <w:bottom w:val="nil"/>
              <w:right w:val="nil"/>
            </w:tcBorders>
            <w:noWrap/>
            <w:vAlign w:val="center"/>
            <w:hideMark/>
          </w:tcPr>
          <w:p w:rsidR="005324F8" w:rsidRDefault="005324F8" w:rsidP="005324F8">
            <w:pPr>
              <w:spacing w:after="0" w:line="240" w:lineRule="auto"/>
              <w:jc w:val="center"/>
            </w:pPr>
            <w:r>
              <w:t>11,52</w:t>
            </w:r>
          </w:p>
        </w:tc>
        <w:tc>
          <w:tcPr>
            <w:tcW w:w="366" w:type="pct"/>
            <w:tcBorders>
              <w:top w:val="nil"/>
              <w:left w:val="nil"/>
              <w:bottom w:val="nil"/>
              <w:right w:val="nil"/>
            </w:tcBorders>
            <w:noWrap/>
            <w:vAlign w:val="center"/>
            <w:hideMark/>
          </w:tcPr>
          <w:p w:rsidR="005324F8" w:rsidRDefault="005324F8" w:rsidP="005324F8">
            <w:pPr>
              <w:spacing w:after="0" w:line="240" w:lineRule="auto"/>
              <w:jc w:val="center"/>
            </w:pPr>
            <w:r>
              <w:t>0,69</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12,21</w:t>
            </w:r>
          </w:p>
        </w:tc>
      </w:tr>
      <w:tr w:rsidR="005324F8" w:rsidTr="005324F8">
        <w:trPr>
          <w:trHeight w:val="284"/>
        </w:trPr>
        <w:tc>
          <w:tcPr>
            <w:tcW w:w="262"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IX</w:t>
            </w:r>
          </w:p>
        </w:tc>
        <w:tc>
          <w:tcPr>
            <w:tcW w:w="515" w:type="pct"/>
            <w:tcBorders>
              <w:top w:val="nil"/>
              <w:left w:val="nil"/>
              <w:bottom w:val="nil"/>
              <w:right w:val="nil"/>
            </w:tcBorders>
            <w:noWrap/>
            <w:vAlign w:val="center"/>
            <w:hideMark/>
          </w:tcPr>
          <w:p w:rsidR="005324F8" w:rsidRDefault="005324F8" w:rsidP="005324F8">
            <w:pPr>
              <w:spacing w:after="0" w:line="240" w:lineRule="auto"/>
              <w:jc w:val="center"/>
              <w:rPr>
                <w:noProof/>
              </w:rPr>
            </w:pPr>
            <w:r>
              <w:rPr>
                <w:noProof/>
              </w:rPr>
              <w:t>Oficial 2ª</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33,89</w:t>
            </w:r>
          </w:p>
        </w:tc>
        <w:tc>
          <w:tcPr>
            <w:tcW w:w="483" w:type="pct"/>
            <w:tcBorders>
              <w:top w:val="nil"/>
              <w:left w:val="nil"/>
              <w:bottom w:val="nil"/>
              <w:right w:val="nil"/>
            </w:tcBorders>
            <w:noWrap/>
            <w:vAlign w:val="center"/>
            <w:hideMark/>
          </w:tcPr>
          <w:p w:rsidR="005324F8" w:rsidRDefault="005324F8" w:rsidP="005324F8">
            <w:pPr>
              <w:spacing w:after="0" w:line="240" w:lineRule="auto"/>
              <w:jc w:val="center"/>
            </w:pPr>
            <w:r>
              <w:t>1.585,02</w:t>
            </w:r>
          </w:p>
        </w:tc>
        <w:tc>
          <w:tcPr>
            <w:tcW w:w="484" w:type="pct"/>
            <w:tcBorders>
              <w:top w:val="nil"/>
              <w:left w:val="nil"/>
              <w:bottom w:val="nil"/>
              <w:right w:val="nil"/>
            </w:tcBorders>
            <w:noWrap/>
            <w:vAlign w:val="center"/>
            <w:hideMark/>
          </w:tcPr>
          <w:p w:rsidR="005324F8" w:rsidRDefault="005324F8" w:rsidP="005324F8">
            <w:pPr>
              <w:spacing w:after="0" w:line="240" w:lineRule="auto"/>
              <w:jc w:val="center"/>
            </w:pPr>
            <w:r>
              <w:t>1.585,02</w:t>
            </w:r>
          </w:p>
        </w:tc>
        <w:tc>
          <w:tcPr>
            <w:tcW w:w="470" w:type="pct"/>
            <w:tcBorders>
              <w:top w:val="nil"/>
              <w:left w:val="nil"/>
              <w:bottom w:val="nil"/>
              <w:right w:val="nil"/>
            </w:tcBorders>
            <w:noWrap/>
            <w:vAlign w:val="center"/>
            <w:hideMark/>
          </w:tcPr>
          <w:p w:rsidR="005324F8" w:rsidRDefault="005324F8" w:rsidP="005324F8">
            <w:pPr>
              <w:spacing w:after="0" w:line="240" w:lineRule="auto"/>
              <w:jc w:val="center"/>
            </w:pPr>
            <w:r>
              <w:t>1.585,02</w:t>
            </w:r>
          </w:p>
        </w:tc>
        <w:tc>
          <w:tcPr>
            <w:tcW w:w="564" w:type="pct"/>
            <w:tcBorders>
              <w:top w:val="nil"/>
              <w:left w:val="nil"/>
              <w:bottom w:val="nil"/>
              <w:right w:val="nil"/>
            </w:tcBorders>
            <w:noWrap/>
            <w:vAlign w:val="center"/>
            <w:hideMark/>
          </w:tcPr>
          <w:p w:rsidR="005324F8" w:rsidRDefault="005324F8" w:rsidP="005324F8">
            <w:pPr>
              <w:spacing w:after="0" w:line="240" w:lineRule="auto"/>
              <w:jc w:val="center"/>
            </w:pPr>
            <w:r>
              <w:t>17.125,69</w:t>
            </w:r>
          </w:p>
        </w:tc>
        <w:tc>
          <w:tcPr>
            <w:tcW w:w="396" w:type="pct"/>
            <w:tcBorders>
              <w:top w:val="nil"/>
              <w:left w:val="nil"/>
              <w:bottom w:val="nil"/>
              <w:right w:val="nil"/>
            </w:tcBorders>
            <w:noWrap/>
            <w:vAlign w:val="center"/>
            <w:hideMark/>
          </w:tcPr>
          <w:p w:rsidR="005324F8" w:rsidRDefault="005324F8" w:rsidP="005324F8">
            <w:pPr>
              <w:spacing w:after="0" w:line="240" w:lineRule="auto"/>
              <w:jc w:val="center"/>
            </w:pPr>
            <w:r>
              <w:t>1.531</w:t>
            </w:r>
          </w:p>
        </w:tc>
        <w:tc>
          <w:tcPr>
            <w:tcW w:w="489" w:type="pct"/>
            <w:tcBorders>
              <w:top w:val="nil"/>
              <w:left w:val="nil"/>
              <w:bottom w:val="nil"/>
              <w:right w:val="nil"/>
            </w:tcBorders>
            <w:noWrap/>
            <w:vAlign w:val="center"/>
            <w:hideMark/>
          </w:tcPr>
          <w:p w:rsidR="005324F8" w:rsidRDefault="005324F8" w:rsidP="005324F8">
            <w:pPr>
              <w:spacing w:after="0" w:line="240" w:lineRule="auto"/>
              <w:jc w:val="center"/>
            </w:pPr>
            <w:r>
              <w:t>11,19</w:t>
            </w:r>
          </w:p>
        </w:tc>
        <w:tc>
          <w:tcPr>
            <w:tcW w:w="366" w:type="pct"/>
            <w:tcBorders>
              <w:top w:val="nil"/>
              <w:left w:val="nil"/>
              <w:bottom w:val="nil"/>
              <w:right w:val="nil"/>
            </w:tcBorders>
            <w:noWrap/>
            <w:vAlign w:val="center"/>
            <w:hideMark/>
          </w:tcPr>
          <w:p w:rsidR="005324F8" w:rsidRDefault="005324F8" w:rsidP="005324F8">
            <w:pPr>
              <w:spacing w:after="0" w:line="240" w:lineRule="auto"/>
              <w:jc w:val="center"/>
            </w:pPr>
            <w:r>
              <w:t>0,69</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11,87</w:t>
            </w:r>
          </w:p>
        </w:tc>
      </w:tr>
      <w:tr w:rsidR="005324F8" w:rsidTr="005324F8">
        <w:trPr>
          <w:trHeight w:val="284"/>
        </w:trPr>
        <w:tc>
          <w:tcPr>
            <w:tcW w:w="262"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X</w:t>
            </w:r>
          </w:p>
        </w:tc>
        <w:tc>
          <w:tcPr>
            <w:tcW w:w="515" w:type="pct"/>
            <w:tcBorders>
              <w:top w:val="nil"/>
              <w:left w:val="nil"/>
              <w:bottom w:val="nil"/>
              <w:right w:val="nil"/>
            </w:tcBorders>
            <w:noWrap/>
            <w:vAlign w:val="center"/>
            <w:hideMark/>
          </w:tcPr>
          <w:p w:rsidR="005324F8" w:rsidRDefault="005324F8" w:rsidP="005324F8">
            <w:pPr>
              <w:spacing w:after="0" w:line="240" w:lineRule="auto"/>
              <w:jc w:val="center"/>
              <w:rPr>
                <w:noProof/>
              </w:rPr>
            </w:pPr>
            <w:r>
              <w:rPr>
                <w:noProof/>
              </w:rPr>
              <w:t>Ayudante</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33,10</w:t>
            </w:r>
          </w:p>
        </w:tc>
        <w:tc>
          <w:tcPr>
            <w:tcW w:w="483" w:type="pct"/>
            <w:tcBorders>
              <w:top w:val="nil"/>
              <w:left w:val="nil"/>
              <w:bottom w:val="nil"/>
              <w:right w:val="nil"/>
            </w:tcBorders>
            <w:noWrap/>
            <w:vAlign w:val="center"/>
            <w:hideMark/>
          </w:tcPr>
          <w:p w:rsidR="005324F8" w:rsidRDefault="005324F8" w:rsidP="005324F8">
            <w:pPr>
              <w:spacing w:after="0" w:line="240" w:lineRule="auto"/>
              <w:jc w:val="center"/>
            </w:pPr>
            <w:r>
              <w:t>1.544,44</w:t>
            </w:r>
          </w:p>
        </w:tc>
        <w:tc>
          <w:tcPr>
            <w:tcW w:w="484" w:type="pct"/>
            <w:tcBorders>
              <w:top w:val="nil"/>
              <w:left w:val="nil"/>
              <w:bottom w:val="nil"/>
              <w:right w:val="nil"/>
            </w:tcBorders>
            <w:noWrap/>
            <w:vAlign w:val="center"/>
            <w:hideMark/>
          </w:tcPr>
          <w:p w:rsidR="005324F8" w:rsidRDefault="005324F8" w:rsidP="005324F8">
            <w:pPr>
              <w:spacing w:after="0" w:line="240" w:lineRule="auto"/>
              <w:jc w:val="center"/>
            </w:pPr>
            <w:r>
              <w:t>1.544,44</w:t>
            </w:r>
          </w:p>
        </w:tc>
        <w:tc>
          <w:tcPr>
            <w:tcW w:w="470" w:type="pct"/>
            <w:tcBorders>
              <w:top w:val="nil"/>
              <w:left w:val="nil"/>
              <w:bottom w:val="nil"/>
              <w:right w:val="nil"/>
            </w:tcBorders>
            <w:noWrap/>
            <w:vAlign w:val="center"/>
            <w:hideMark/>
          </w:tcPr>
          <w:p w:rsidR="005324F8" w:rsidRDefault="005324F8" w:rsidP="005324F8">
            <w:pPr>
              <w:spacing w:after="0" w:line="240" w:lineRule="auto"/>
              <w:jc w:val="center"/>
            </w:pPr>
            <w:r>
              <w:t>1.544,44</w:t>
            </w:r>
          </w:p>
        </w:tc>
        <w:tc>
          <w:tcPr>
            <w:tcW w:w="564" w:type="pct"/>
            <w:tcBorders>
              <w:top w:val="nil"/>
              <w:left w:val="nil"/>
              <w:bottom w:val="nil"/>
              <w:right w:val="nil"/>
            </w:tcBorders>
            <w:noWrap/>
            <w:vAlign w:val="center"/>
            <w:hideMark/>
          </w:tcPr>
          <w:p w:rsidR="005324F8" w:rsidRDefault="005324F8" w:rsidP="005324F8">
            <w:pPr>
              <w:spacing w:after="0" w:line="240" w:lineRule="auto"/>
              <w:jc w:val="center"/>
            </w:pPr>
            <w:r>
              <w:t>16.713,87</w:t>
            </w:r>
          </w:p>
        </w:tc>
        <w:tc>
          <w:tcPr>
            <w:tcW w:w="396" w:type="pct"/>
            <w:tcBorders>
              <w:top w:val="nil"/>
              <w:left w:val="nil"/>
              <w:bottom w:val="nil"/>
              <w:right w:val="nil"/>
            </w:tcBorders>
            <w:noWrap/>
            <w:vAlign w:val="center"/>
            <w:hideMark/>
          </w:tcPr>
          <w:p w:rsidR="005324F8" w:rsidRDefault="005324F8" w:rsidP="005324F8">
            <w:pPr>
              <w:spacing w:after="0" w:line="240" w:lineRule="auto"/>
              <w:jc w:val="center"/>
            </w:pPr>
            <w:r>
              <w:t>1.531</w:t>
            </w:r>
          </w:p>
        </w:tc>
        <w:tc>
          <w:tcPr>
            <w:tcW w:w="489" w:type="pct"/>
            <w:tcBorders>
              <w:top w:val="nil"/>
              <w:left w:val="nil"/>
              <w:bottom w:val="nil"/>
              <w:right w:val="nil"/>
            </w:tcBorders>
            <w:noWrap/>
            <w:vAlign w:val="center"/>
            <w:hideMark/>
          </w:tcPr>
          <w:p w:rsidR="005324F8" w:rsidRDefault="005324F8" w:rsidP="005324F8">
            <w:pPr>
              <w:spacing w:after="0" w:line="240" w:lineRule="auto"/>
              <w:jc w:val="center"/>
            </w:pPr>
            <w:r>
              <w:t>10,92</w:t>
            </w:r>
          </w:p>
        </w:tc>
        <w:tc>
          <w:tcPr>
            <w:tcW w:w="366" w:type="pct"/>
            <w:tcBorders>
              <w:top w:val="nil"/>
              <w:left w:val="nil"/>
              <w:bottom w:val="nil"/>
              <w:right w:val="nil"/>
            </w:tcBorders>
            <w:noWrap/>
            <w:vAlign w:val="center"/>
            <w:hideMark/>
          </w:tcPr>
          <w:p w:rsidR="005324F8" w:rsidRDefault="005324F8" w:rsidP="005324F8">
            <w:pPr>
              <w:spacing w:after="0" w:line="240" w:lineRule="auto"/>
              <w:jc w:val="center"/>
            </w:pPr>
            <w:r>
              <w:t>0,69</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11,60</w:t>
            </w:r>
          </w:p>
        </w:tc>
      </w:tr>
      <w:tr w:rsidR="005324F8" w:rsidTr="005324F8">
        <w:trPr>
          <w:trHeight w:val="284"/>
        </w:trPr>
        <w:tc>
          <w:tcPr>
            <w:tcW w:w="262"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XI</w:t>
            </w:r>
          </w:p>
        </w:tc>
        <w:tc>
          <w:tcPr>
            <w:tcW w:w="515" w:type="pct"/>
            <w:tcBorders>
              <w:top w:val="nil"/>
              <w:left w:val="nil"/>
              <w:bottom w:val="nil"/>
              <w:right w:val="nil"/>
            </w:tcBorders>
            <w:noWrap/>
            <w:vAlign w:val="center"/>
            <w:hideMark/>
          </w:tcPr>
          <w:p w:rsidR="005324F8" w:rsidRDefault="005324F8" w:rsidP="005324F8">
            <w:pPr>
              <w:spacing w:after="0" w:line="240" w:lineRule="auto"/>
              <w:jc w:val="center"/>
              <w:rPr>
                <w:noProof/>
              </w:rPr>
            </w:pPr>
            <w:r>
              <w:rPr>
                <w:noProof/>
              </w:rPr>
              <w:t>Peón Especial</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32,55</w:t>
            </w:r>
          </w:p>
        </w:tc>
        <w:tc>
          <w:tcPr>
            <w:tcW w:w="483" w:type="pct"/>
            <w:tcBorders>
              <w:top w:val="nil"/>
              <w:left w:val="nil"/>
              <w:bottom w:val="nil"/>
              <w:right w:val="nil"/>
            </w:tcBorders>
            <w:noWrap/>
            <w:vAlign w:val="center"/>
            <w:hideMark/>
          </w:tcPr>
          <w:p w:rsidR="005324F8" w:rsidRDefault="005324F8" w:rsidP="005324F8">
            <w:pPr>
              <w:spacing w:after="0" w:line="240" w:lineRule="auto"/>
              <w:jc w:val="center"/>
            </w:pPr>
            <w:r>
              <w:t>1.519,04</w:t>
            </w:r>
          </w:p>
        </w:tc>
        <w:tc>
          <w:tcPr>
            <w:tcW w:w="484" w:type="pct"/>
            <w:tcBorders>
              <w:top w:val="nil"/>
              <w:left w:val="nil"/>
              <w:bottom w:val="nil"/>
              <w:right w:val="nil"/>
            </w:tcBorders>
            <w:noWrap/>
            <w:vAlign w:val="center"/>
            <w:hideMark/>
          </w:tcPr>
          <w:p w:rsidR="005324F8" w:rsidRDefault="005324F8" w:rsidP="005324F8">
            <w:pPr>
              <w:spacing w:after="0" w:line="240" w:lineRule="auto"/>
              <w:jc w:val="center"/>
            </w:pPr>
            <w:r>
              <w:t>1.519,04</w:t>
            </w:r>
          </w:p>
        </w:tc>
        <w:tc>
          <w:tcPr>
            <w:tcW w:w="470" w:type="pct"/>
            <w:tcBorders>
              <w:top w:val="nil"/>
              <w:left w:val="nil"/>
              <w:bottom w:val="nil"/>
              <w:right w:val="nil"/>
            </w:tcBorders>
            <w:noWrap/>
            <w:vAlign w:val="center"/>
            <w:hideMark/>
          </w:tcPr>
          <w:p w:rsidR="005324F8" w:rsidRDefault="005324F8" w:rsidP="005324F8">
            <w:pPr>
              <w:spacing w:after="0" w:line="240" w:lineRule="auto"/>
              <w:jc w:val="center"/>
            </w:pPr>
            <w:r>
              <w:t>1.519,04</w:t>
            </w:r>
          </w:p>
        </w:tc>
        <w:tc>
          <w:tcPr>
            <w:tcW w:w="564" w:type="pct"/>
            <w:tcBorders>
              <w:top w:val="nil"/>
              <w:left w:val="nil"/>
              <w:bottom w:val="nil"/>
              <w:right w:val="nil"/>
            </w:tcBorders>
            <w:noWrap/>
            <w:vAlign w:val="center"/>
            <w:hideMark/>
          </w:tcPr>
          <w:p w:rsidR="005324F8" w:rsidRDefault="005324F8" w:rsidP="005324F8">
            <w:pPr>
              <w:spacing w:after="0" w:line="240" w:lineRule="auto"/>
              <w:jc w:val="center"/>
            </w:pPr>
            <w:r>
              <w:t>16.439,39</w:t>
            </w:r>
          </w:p>
        </w:tc>
        <w:tc>
          <w:tcPr>
            <w:tcW w:w="396" w:type="pct"/>
            <w:tcBorders>
              <w:top w:val="nil"/>
              <w:left w:val="nil"/>
              <w:bottom w:val="nil"/>
              <w:right w:val="nil"/>
            </w:tcBorders>
            <w:noWrap/>
            <w:vAlign w:val="center"/>
            <w:hideMark/>
          </w:tcPr>
          <w:p w:rsidR="005324F8" w:rsidRDefault="005324F8" w:rsidP="005324F8">
            <w:pPr>
              <w:spacing w:after="0" w:line="240" w:lineRule="auto"/>
              <w:jc w:val="center"/>
            </w:pPr>
            <w:r>
              <w:t>1.531</w:t>
            </w:r>
          </w:p>
        </w:tc>
        <w:tc>
          <w:tcPr>
            <w:tcW w:w="489" w:type="pct"/>
            <w:tcBorders>
              <w:top w:val="nil"/>
              <w:left w:val="nil"/>
              <w:bottom w:val="nil"/>
              <w:right w:val="nil"/>
            </w:tcBorders>
            <w:noWrap/>
            <w:vAlign w:val="center"/>
            <w:hideMark/>
          </w:tcPr>
          <w:p w:rsidR="005324F8" w:rsidRDefault="005324F8" w:rsidP="005324F8">
            <w:pPr>
              <w:spacing w:after="0" w:line="240" w:lineRule="auto"/>
              <w:jc w:val="center"/>
            </w:pPr>
            <w:r>
              <w:t>10,74</w:t>
            </w:r>
          </w:p>
        </w:tc>
        <w:tc>
          <w:tcPr>
            <w:tcW w:w="366" w:type="pct"/>
            <w:tcBorders>
              <w:top w:val="nil"/>
              <w:left w:val="nil"/>
              <w:bottom w:val="nil"/>
              <w:right w:val="nil"/>
            </w:tcBorders>
            <w:noWrap/>
            <w:vAlign w:val="center"/>
            <w:hideMark/>
          </w:tcPr>
          <w:p w:rsidR="005324F8" w:rsidRDefault="005324F8" w:rsidP="005324F8">
            <w:pPr>
              <w:spacing w:after="0" w:line="240" w:lineRule="auto"/>
              <w:jc w:val="center"/>
            </w:pPr>
            <w:r>
              <w:t>0,69</w:t>
            </w:r>
          </w:p>
        </w:tc>
        <w:tc>
          <w:tcPr>
            <w:tcW w:w="485" w:type="pct"/>
            <w:tcBorders>
              <w:top w:val="nil"/>
              <w:left w:val="nil"/>
              <w:bottom w:val="nil"/>
              <w:right w:val="nil"/>
            </w:tcBorders>
            <w:noWrap/>
            <w:vAlign w:val="center"/>
            <w:hideMark/>
          </w:tcPr>
          <w:p w:rsidR="005324F8" w:rsidRDefault="005324F8" w:rsidP="005324F8">
            <w:pPr>
              <w:spacing w:after="0" w:line="240" w:lineRule="auto"/>
              <w:jc w:val="center"/>
            </w:pPr>
            <w:r>
              <w:t>11,43</w:t>
            </w:r>
          </w:p>
        </w:tc>
      </w:tr>
      <w:tr w:rsidR="005324F8" w:rsidTr="005324F8">
        <w:trPr>
          <w:trHeight w:val="284"/>
        </w:trPr>
        <w:tc>
          <w:tcPr>
            <w:tcW w:w="262" w:type="pct"/>
            <w:tcBorders>
              <w:top w:val="nil"/>
              <w:left w:val="nil"/>
              <w:bottom w:val="single" w:sz="12" w:space="0" w:color="auto"/>
              <w:right w:val="nil"/>
            </w:tcBorders>
            <w:noWrap/>
            <w:vAlign w:val="center"/>
            <w:hideMark/>
          </w:tcPr>
          <w:p w:rsidR="005324F8" w:rsidRDefault="005324F8" w:rsidP="005324F8">
            <w:pPr>
              <w:spacing w:after="0" w:line="240" w:lineRule="auto"/>
              <w:jc w:val="center"/>
              <w:rPr>
                <w:noProof/>
                <w:sz w:val="24"/>
              </w:rPr>
            </w:pPr>
            <w:r>
              <w:rPr>
                <w:noProof/>
              </w:rPr>
              <w:t>XII</w:t>
            </w:r>
          </w:p>
        </w:tc>
        <w:tc>
          <w:tcPr>
            <w:tcW w:w="515" w:type="pct"/>
            <w:tcBorders>
              <w:top w:val="nil"/>
              <w:left w:val="nil"/>
              <w:bottom w:val="single" w:sz="12" w:space="0" w:color="auto"/>
              <w:right w:val="nil"/>
            </w:tcBorders>
            <w:noWrap/>
            <w:vAlign w:val="center"/>
            <w:hideMark/>
          </w:tcPr>
          <w:p w:rsidR="005324F8" w:rsidRDefault="005324F8" w:rsidP="005324F8">
            <w:pPr>
              <w:spacing w:after="0" w:line="240" w:lineRule="auto"/>
              <w:jc w:val="center"/>
              <w:rPr>
                <w:noProof/>
              </w:rPr>
            </w:pPr>
            <w:r>
              <w:rPr>
                <w:noProof/>
              </w:rPr>
              <w:t>Peón Ordinario</w:t>
            </w:r>
          </w:p>
        </w:tc>
        <w:tc>
          <w:tcPr>
            <w:tcW w:w="485"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32,20</w:t>
            </w:r>
          </w:p>
        </w:tc>
        <w:tc>
          <w:tcPr>
            <w:tcW w:w="483"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1.503,28</w:t>
            </w:r>
          </w:p>
        </w:tc>
        <w:tc>
          <w:tcPr>
            <w:tcW w:w="484"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1.503,28</w:t>
            </w:r>
          </w:p>
        </w:tc>
        <w:tc>
          <w:tcPr>
            <w:tcW w:w="470"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1.503,28</w:t>
            </w:r>
          </w:p>
        </w:tc>
        <w:tc>
          <w:tcPr>
            <w:tcW w:w="564"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16.263,59</w:t>
            </w:r>
          </w:p>
        </w:tc>
        <w:tc>
          <w:tcPr>
            <w:tcW w:w="396"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1.531</w:t>
            </w:r>
          </w:p>
        </w:tc>
        <w:tc>
          <w:tcPr>
            <w:tcW w:w="489"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10,62</w:t>
            </w:r>
          </w:p>
        </w:tc>
        <w:tc>
          <w:tcPr>
            <w:tcW w:w="366"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0,69</w:t>
            </w:r>
          </w:p>
        </w:tc>
        <w:tc>
          <w:tcPr>
            <w:tcW w:w="485"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11,31</w:t>
            </w:r>
          </w:p>
        </w:tc>
      </w:tr>
    </w:tbl>
    <w:p w:rsidR="005324F8" w:rsidRDefault="005324F8" w:rsidP="005324F8"/>
    <w:tbl>
      <w:tblPr>
        <w:tblW w:w="5000" w:type="pct"/>
        <w:tblBorders>
          <w:top w:val="single" w:sz="12" w:space="0" w:color="008000"/>
          <w:bottom w:val="single" w:sz="12" w:space="0" w:color="008000"/>
        </w:tblBorders>
        <w:tblLook w:val="04A0" w:firstRow="1" w:lastRow="0" w:firstColumn="1" w:lastColumn="0" w:noHBand="0" w:noVBand="1"/>
      </w:tblPr>
      <w:tblGrid>
        <w:gridCol w:w="1432"/>
        <w:gridCol w:w="669"/>
        <w:gridCol w:w="947"/>
        <w:gridCol w:w="1387"/>
        <w:gridCol w:w="1491"/>
        <w:gridCol w:w="1465"/>
        <w:gridCol w:w="765"/>
        <w:gridCol w:w="973"/>
        <w:gridCol w:w="881"/>
      </w:tblGrid>
      <w:tr w:rsidR="005324F8" w:rsidTr="005324F8">
        <w:trPr>
          <w:trHeight w:val="284"/>
        </w:trPr>
        <w:tc>
          <w:tcPr>
            <w:tcW w:w="715"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CATEGORIA</w:t>
            </w:r>
          </w:p>
        </w:tc>
        <w:tc>
          <w:tcPr>
            <w:tcW w:w="334"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A</w:t>
            </w:r>
          </w:p>
        </w:tc>
        <w:tc>
          <w:tcPr>
            <w:tcW w:w="473"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1,40 x A</w:t>
            </w:r>
          </w:p>
        </w:tc>
        <w:tc>
          <w:tcPr>
            <w:tcW w:w="2169" w:type="pct"/>
            <w:gridSpan w:val="3"/>
            <w:tcBorders>
              <w:top w:val="single" w:sz="12" w:space="0" w:color="auto"/>
              <w:left w:val="nil"/>
              <w:bottom w:val="single" w:sz="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B</w:t>
            </w:r>
          </w:p>
        </w:tc>
        <w:tc>
          <w:tcPr>
            <w:tcW w:w="382"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Dietas</w:t>
            </w:r>
          </w:p>
        </w:tc>
        <w:tc>
          <w:tcPr>
            <w:tcW w:w="486"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TOTAL B</w:t>
            </w:r>
          </w:p>
        </w:tc>
        <w:tc>
          <w:tcPr>
            <w:tcW w:w="441" w:type="pct"/>
            <w:vMerge w:val="restart"/>
            <w:tcBorders>
              <w:top w:val="single" w:sz="1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TOTAL</w:t>
            </w:r>
          </w:p>
          <w:p w:rsidR="005324F8" w:rsidRDefault="005324F8" w:rsidP="005324F8">
            <w:pPr>
              <w:spacing w:after="0" w:line="240" w:lineRule="auto"/>
              <w:jc w:val="center"/>
              <w:rPr>
                <w:b/>
                <w:noProof/>
                <w:sz w:val="18"/>
              </w:rPr>
            </w:pPr>
            <w:r>
              <w:rPr>
                <w:b/>
                <w:noProof/>
                <w:sz w:val="18"/>
              </w:rPr>
              <w:t>COSTO</w:t>
            </w:r>
          </w:p>
          <w:p w:rsidR="005324F8" w:rsidRDefault="005324F8" w:rsidP="005324F8">
            <w:pPr>
              <w:spacing w:after="0" w:line="240" w:lineRule="auto"/>
              <w:jc w:val="center"/>
              <w:rPr>
                <w:b/>
                <w:noProof/>
                <w:sz w:val="18"/>
              </w:rPr>
            </w:pPr>
            <w:r>
              <w:rPr>
                <w:b/>
                <w:noProof/>
                <w:sz w:val="18"/>
              </w:rPr>
              <w:t>1,4A+B</w:t>
            </w:r>
          </w:p>
        </w:tc>
      </w:tr>
      <w:tr w:rsidR="005324F8" w:rsidTr="005324F8">
        <w:trPr>
          <w:trHeight w:val="284"/>
        </w:trPr>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693" w:type="pct"/>
            <w:tcBorders>
              <w:top w:val="single" w:sz="2" w:space="0" w:color="auto"/>
              <w:left w:val="nil"/>
              <w:bottom w:val="nil"/>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Plus</w:t>
            </w:r>
          </w:p>
        </w:tc>
        <w:tc>
          <w:tcPr>
            <w:tcW w:w="745" w:type="pct"/>
            <w:tcBorders>
              <w:top w:val="single" w:sz="2" w:space="0" w:color="auto"/>
              <w:left w:val="nil"/>
              <w:bottom w:val="nil"/>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Desgaste</w:t>
            </w:r>
          </w:p>
        </w:tc>
        <w:tc>
          <w:tcPr>
            <w:tcW w:w="732" w:type="pct"/>
            <w:vMerge w:val="restart"/>
            <w:tcBorders>
              <w:top w:val="single" w:sz="2" w:space="0" w:color="auto"/>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Ropa Trabajo</w:t>
            </w: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r>
      <w:tr w:rsidR="005324F8" w:rsidTr="005324F8">
        <w:trPr>
          <w:trHeight w:hRule="exact" w:val="284"/>
        </w:trPr>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693" w:type="pct"/>
            <w:tcBorders>
              <w:top w:val="nil"/>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Extrasalarial</w:t>
            </w:r>
          </w:p>
        </w:tc>
        <w:tc>
          <w:tcPr>
            <w:tcW w:w="745" w:type="pct"/>
            <w:tcBorders>
              <w:top w:val="nil"/>
              <w:left w:val="nil"/>
              <w:bottom w:val="single" w:sz="12" w:space="0" w:color="auto"/>
              <w:right w:val="nil"/>
            </w:tcBorders>
            <w:shd w:val="pct10" w:color="auto" w:fill="auto"/>
            <w:noWrap/>
            <w:vAlign w:val="center"/>
            <w:hideMark/>
          </w:tcPr>
          <w:p w:rsidR="005324F8" w:rsidRDefault="005324F8" w:rsidP="005324F8">
            <w:pPr>
              <w:spacing w:after="0" w:line="240" w:lineRule="auto"/>
              <w:jc w:val="center"/>
              <w:rPr>
                <w:b/>
                <w:noProof/>
                <w:sz w:val="18"/>
              </w:rPr>
            </w:pPr>
            <w:r>
              <w:rPr>
                <w:b/>
                <w:noProof/>
                <w:sz w:val="18"/>
              </w:rPr>
              <w:t>Herramientas</w:t>
            </w:r>
          </w:p>
        </w:tc>
        <w:tc>
          <w:tcPr>
            <w:tcW w:w="0" w:type="auto"/>
            <w:vMerge/>
            <w:tcBorders>
              <w:top w:val="single" w:sz="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c>
          <w:tcPr>
            <w:tcW w:w="0" w:type="auto"/>
            <w:vMerge/>
            <w:tcBorders>
              <w:top w:val="single" w:sz="12" w:space="0" w:color="auto"/>
              <w:left w:val="nil"/>
              <w:bottom w:val="single" w:sz="12" w:space="0" w:color="auto"/>
              <w:right w:val="nil"/>
            </w:tcBorders>
            <w:vAlign w:val="center"/>
            <w:hideMark/>
          </w:tcPr>
          <w:p w:rsidR="005324F8" w:rsidRDefault="005324F8" w:rsidP="005324F8">
            <w:pPr>
              <w:spacing w:after="0" w:line="240" w:lineRule="auto"/>
              <w:jc w:val="left"/>
              <w:rPr>
                <w:b/>
                <w:noProof/>
                <w:sz w:val="18"/>
                <w:szCs w:val="24"/>
              </w:rPr>
            </w:pPr>
          </w:p>
        </w:tc>
      </w:tr>
      <w:tr w:rsidR="005324F8" w:rsidTr="005324F8">
        <w:trPr>
          <w:trHeight w:hRule="exact" w:val="284"/>
        </w:trPr>
        <w:tc>
          <w:tcPr>
            <w:tcW w:w="715" w:type="pct"/>
            <w:tcBorders>
              <w:top w:val="single" w:sz="12" w:space="0" w:color="auto"/>
              <w:left w:val="nil"/>
              <w:bottom w:val="nil"/>
              <w:right w:val="nil"/>
            </w:tcBorders>
            <w:noWrap/>
            <w:vAlign w:val="center"/>
            <w:hideMark/>
          </w:tcPr>
          <w:p w:rsidR="005324F8" w:rsidRDefault="005324F8" w:rsidP="005324F8">
            <w:pPr>
              <w:spacing w:after="0" w:line="240" w:lineRule="auto"/>
              <w:jc w:val="center"/>
              <w:rPr>
                <w:noProof/>
                <w:sz w:val="24"/>
              </w:rPr>
            </w:pPr>
            <w:r>
              <w:rPr>
                <w:noProof/>
              </w:rPr>
              <w:t>Capataz</w:t>
            </w:r>
          </w:p>
        </w:tc>
        <w:tc>
          <w:tcPr>
            <w:tcW w:w="334"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12,42</w:t>
            </w:r>
          </w:p>
        </w:tc>
        <w:tc>
          <w:tcPr>
            <w:tcW w:w="473"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17,39</w:t>
            </w:r>
          </w:p>
        </w:tc>
        <w:tc>
          <w:tcPr>
            <w:tcW w:w="693"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single" w:sz="12" w:space="0" w:color="auto"/>
              <w:left w:val="nil"/>
              <w:bottom w:val="nil"/>
              <w:right w:val="nil"/>
            </w:tcBorders>
            <w:noWrap/>
            <w:vAlign w:val="center"/>
          </w:tcPr>
          <w:p w:rsidR="005324F8" w:rsidRDefault="005324F8" w:rsidP="005324F8">
            <w:pPr>
              <w:spacing w:after="0" w:line="240" w:lineRule="auto"/>
              <w:jc w:val="center"/>
            </w:pPr>
          </w:p>
        </w:tc>
        <w:tc>
          <w:tcPr>
            <w:tcW w:w="732"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single" w:sz="12" w:space="0" w:color="auto"/>
              <w:left w:val="nil"/>
              <w:bottom w:val="nil"/>
              <w:right w:val="nil"/>
            </w:tcBorders>
            <w:noWrap/>
            <w:vAlign w:val="center"/>
            <w:hideMark/>
          </w:tcPr>
          <w:p w:rsidR="005324F8" w:rsidRDefault="005324F8" w:rsidP="005324F8">
            <w:pPr>
              <w:spacing w:after="0" w:line="240" w:lineRule="auto"/>
              <w:jc w:val="center"/>
            </w:pPr>
            <w:r>
              <w:t>3,23</w:t>
            </w:r>
          </w:p>
        </w:tc>
        <w:tc>
          <w:tcPr>
            <w:tcW w:w="441" w:type="pct"/>
            <w:tcBorders>
              <w:top w:val="single" w:sz="12" w:space="0" w:color="auto"/>
              <w:left w:val="nil"/>
              <w:bottom w:val="nil"/>
              <w:right w:val="nil"/>
            </w:tcBorders>
            <w:noWrap/>
            <w:vAlign w:val="center"/>
            <w:hideMark/>
          </w:tcPr>
          <w:p w:rsidR="005324F8" w:rsidRDefault="005324F8" w:rsidP="005324F8">
            <w:pPr>
              <w:spacing w:after="0" w:line="240" w:lineRule="auto"/>
              <w:jc w:val="center"/>
              <w:rPr>
                <w:b/>
              </w:rPr>
            </w:pPr>
            <w:r>
              <w:rPr>
                <w:b/>
              </w:rPr>
              <w:t>20,62</w:t>
            </w:r>
          </w:p>
        </w:tc>
      </w:tr>
      <w:tr w:rsidR="005324F8" w:rsidTr="005324F8">
        <w:trPr>
          <w:trHeight w:hRule="exact" w:val="284"/>
        </w:trPr>
        <w:tc>
          <w:tcPr>
            <w:tcW w:w="715"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Oficial 1ª</w:t>
            </w:r>
          </w:p>
        </w:tc>
        <w:tc>
          <w:tcPr>
            <w:tcW w:w="334" w:type="pct"/>
            <w:tcBorders>
              <w:top w:val="nil"/>
              <w:left w:val="nil"/>
              <w:bottom w:val="nil"/>
              <w:right w:val="nil"/>
            </w:tcBorders>
            <w:noWrap/>
            <w:vAlign w:val="center"/>
            <w:hideMark/>
          </w:tcPr>
          <w:p w:rsidR="005324F8" w:rsidRDefault="005324F8" w:rsidP="005324F8">
            <w:pPr>
              <w:spacing w:after="0" w:line="240" w:lineRule="auto"/>
              <w:jc w:val="center"/>
            </w:pPr>
            <w:r>
              <w:t>12,21</w:t>
            </w:r>
          </w:p>
        </w:tc>
        <w:tc>
          <w:tcPr>
            <w:tcW w:w="473" w:type="pct"/>
            <w:tcBorders>
              <w:top w:val="nil"/>
              <w:left w:val="nil"/>
              <w:bottom w:val="nil"/>
              <w:right w:val="nil"/>
            </w:tcBorders>
            <w:noWrap/>
            <w:vAlign w:val="center"/>
            <w:hideMark/>
          </w:tcPr>
          <w:p w:rsidR="005324F8" w:rsidRDefault="005324F8" w:rsidP="005324F8">
            <w:pPr>
              <w:spacing w:after="0" w:line="240" w:lineRule="auto"/>
              <w:jc w:val="center"/>
            </w:pPr>
            <w:r>
              <w:t>17,09</w:t>
            </w:r>
          </w:p>
        </w:tc>
        <w:tc>
          <w:tcPr>
            <w:tcW w:w="693" w:type="pct"/>
            <w:tcBorders>
              <w:top w:val="nil"/>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nil"/>
              <w:right w:val="nil"/>
            </w:tcBorders>
            <w:noWrap/>
            <w:vAlign w:val="center"/>
            <w:hideMark/>
          </w:tcPr>
          <w:p w:rsidR="005324F8" w:rsidRDefault="005324F8" w:rsidP="005324F8">
            <w:pPr>
              <w:spacing w:after="0" w:line="240" w:lineRule="auto"/>
              <w:jc w:val="center"/>
            </w:pPr>
            <w:r>
              <w:t>0,13</w:t>
            </w:r>
          </w:p>
        </w:tc>
        <w:tc>
          <w:tcPr>
            <w:tcW w:w="732" w:type="pct"/>
            <w:tcBorders>
              <w:top w:val="nil"/>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nil"/>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nil"/>
              <w:right w:val="nil"/>
            </w:tcBorders>
            <w:noWrap/>
            <w:vAlign w:val="center"/>
            <w:hideMark/>
          </w:tcPr>
          <w:p w:rsidR="005324F8" w:rsidRDefault="005324F8" w:rsidP="005324F8">
            <w:pPr>
              <w:spacing w:after="0" w:line="240" w:lineRule="auto"/>
              <w:jc w:val="center"/>
            </w:pPr>
            <w:r>
              <w:t>3,36</w:t>
            </w:r>
          </w:p>
        </w:tc>
        <w:tc>
          <w:tcPr>
            <w:tcW w:w="441" w:type="pct"/>
            <w:tcBorders>
              <w:top w:val="nil"/>
              <w:left w:val="nil"/>
              <w:bottom w:val="nil"/>
              <w:right w:val="nil"/>
            </w:tcBorders>
            <w:noWrap/>
            <w:vAlign w:val="center"/>
            <w:hideMark/>
          </w:tcPr>
          <w:p w:rsidR="005324F8" w:rsidRDefault="005324F8" w:rsidP="005324F8">
            <w:pPr>
              <w:spacing w:after="0" w:line="240" w:lineRule="auto"/>
              <w:jc w:val="center"/>
              <w:rPr>
                <w:b/>
              </w:rPr>
            </w:pPr>
            <w:r>
              <w:rPr>
                <w:b/>
              </w:rPr>
              <w:t>20,45</w:t>
            </w:r>
          </w:p>
        </w:tc>
      </w:tr>
      <w:tr w:rsidR="005324F8" w:rsidTr="005324F8">
        <w:trPr>
          <w:trHeight w:hRule="exact" w:val="284"/>
        </w:trPr>
        <w:tc>
          <w:tcPr>
            <w:tcW w:w="715"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Oficial 2ª</w:t>
            </w:r>
          </w:p>
        </w:tc>
        <w:tc>
          <w:tcPr>
            <w:tcW w:w="334" w:type="pct"/>
            <w:tcBorders>
              <w:top w:val="nil"/>
              <w:left w:val="nil"/>
              <w:bottom w:val="nil"/>
              <w:right w:val="nil"/>
            </w:tcBorders>
            <w:noWrap/>
            <w:vAlign w:val="center"/>
            <w:hideMark/>
          </w:tcPr>
          <w:p w:rsidR="005324F8" w:rsidRDefault="005324F8" w:rsidP="005324F8">
            <w:pPr>
              <w:spacing w:after="0" w:line="240" w:lineRule="auto"/>
              <w:jc w:val="center"/>
            </w:pPr>
            <w:r>
              <w:t>11,87</w:t>
            </w:r>
          </w:p>
        </w:tc>
        <w:tc>
          <w:tcPr>
            <w:tcW w:w="473" w:type="pct"/>
            <w:tcBorders>
              <w:top w:val="nil"/>
              <w:left w:val="nil"/>
              <w:bottom w:val="nil"/>
              <w:right w:val="nil"/>
            </w:tcBorders>
            <w:noWrap/>
            <w:vAlign w:val="center"/>
            <w:hideMark/>
          </w:tcPr>
          <w:p w:rsidR="005324F8" w:rsidRDefault="005324F8" w:rsidP="005324F8">
            <w:pPr>
              <w:spacing w:after="0" w:line="240" w:lineRule="auto"/>
              <w:jc w:val="center"/>
            </w:pPr>
            <w:r>
              <w:t>16,62</w:t>
            </w:r>
          </w:p>
        </w:tc>
        <w:tc>
          <w:tcPr>
            <w:tcW w:w="693" w:type="pct"/>
            <w:tcBorders>
              <w:top w:val="nil"/>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nil"/>
              <w:right w:val="nil"/>
            </w:tcBorders>
            <w:noWrap/>
            <w:vAlign w:val="center"/>
            <w:hideMark/>
          </w:tcPr>
          <w:p w:rsidR="005324F8" w:rsidRDefault="005324F8" w:rsidP="005324F8">
            <w:pPr>
              <w:spacing w:after="0" w:line="240" w:lineRule="auto"/>
              <w:jc w:val="center"/>
            </w:pPr>
            <w:r>
              <w:t>0,13</w:t>
            </w:r>
          </w:p>
        </w:tc>
        <w:tc>
          <w:tcPr>
            <w:tcW w:w="732" w:type="pct"/>
            <w:tcBorders>
              <w:top w:val="nil"/>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nil"/>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nil"/>
              <w:right w:val="nil"/>
            </w:tcBorders>
            <w:noWrap/>
            <w:vAlign w:val="center"/>
            <w:hideMark/>
          </w:tcPr>
          <w:p w:rsidR="005324F8" w:rsidRDefault="005324F8" w:rsidP="005324F8">
            <w:pPr>
              <w:spacing w:after="0" w:line="240" w:lineRule="auto"/>
              <w:jc w:val="center"/>
            </w:pPr>
            <w:r>
              <w:t>3,36</w:t>
            </w:r>
          </w:p>
        </w:tc>
        <w:tc>
          <w:tcPr>
            <w:tcW w:w="441" w:type="pct"/>
            <w:tcBorders>
              <w:top w:val="nil"/>
              <w:left w:val="nil"/>
              <w:bottom w:val="nil"/>
              <w:right w:val="nil"/>
            </w:tcBorders>
            <w:noWrap/>
            <w:vAlign w:val="center"/>
            <w:hideMark/>
          </w:tcPr>
          <w:p w:rsidR="005324F8" w:rsidRDefault="005324F8" w:rsidP="005324F8">
            <w:pPr>
              <w:spacing w:after="0" w:line="240" w:lineRule="auto"/>
              <w:jc w:val="center"/>
              <w:rPr>
                <w:b/>
              </w:rPr>
            </w:pPr>
            <w:r>
              <w:rPr>
                <w:b/>
              </w:rPr>
              <w:t>19,98</w:t>
            </w:r>
          </w:p>
        </w:tc>
      </w:tr>
      <w:tr w:rsidR="005324F8" w:rsidTr="005324F8">
        <w:trPr>
          <w:trHeight w:hRule="exact" w:val="284"/>
        </w:trPr>
        <w:tc>
          <w:tcPr>
            <w:tcW w:w="715"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Ayudante</w:t>
            </w:r>
          </w:p>
        </w:tc>
        <w:tc>
          <w:tcPr>
            <w:tcW w:w="334" w:type="pct"/>
            <w:tcBorders>
              <w:top w:val="nil"/>
              <w:left w:val="nil"/>
              <w:bottom w:val="nil"/>
              <w:right w:val="nil"/>
            </w:tcBorders>
            <w:noWrap/>
            <w:vAlign w:val="center"/>
            <w:hideMark/>
          </w:tcPr>
          <w:p w:rsidR="005324F8" w:rsidRDefault="005324F8" w:rsidP="005324F8">
            <w:pPr>
              <w:spacing w:after="0" w:line="240" w:lineRule="auto"/>
              <w:jc w:val="center"/>
            </w:pPr>
            <w:r>
              <w:t>11,60</w:t>
            </w:r>
          </w:p>
        </w:tc>
        <w:tc>
          <w:tcPr>
            <w:tcW w:w="473" w:type="pct"/>
            <w:tcBorders>
              <w:top w:val="nil"/>
              <w:left w:val="nil"/>
              <w:bottom w:val="nil"/>
              <w:right w:val="nil"/>
            </w:tcBorders>
            <w:noWrap/>
            <w:vAlign w:val="center"/>
            <w:hideMark/>
          </w:tcPr>
          <w:p w:rsidR="005324F8" w:rsidRDefault="005324F8" w:rsidP="005324F8">
            <w:pPr>
              <w:spacing w:after="0" w:line="240" w:lineRule="auto"/>
              <w:jc w:val="center"/>
            </w:pPr>
            <w:r>
              <w:t>16,25</w:t>
            </w:r>
          </w:p>
        </w:tc>
        <w:tc>
          <w:tcPr>
            <w:tcW w:w="693" w:type="pct"/>
            <w:tcBorders>
              <w:top w:val="nil"/>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nil"/>
              <w:right w:val="nil"/>
            </w:tcBorders>
            <w:noWrap/>
            <w:vAlign w:val="center"/>
            <w:hideMark/>
          </w:tcPr>
          <w:p w:rsidR="005324F8" w:rsidRDefault="005324F8" w:rsidP="005324F8">
            <w:pPr>
              <w:spacing w:after="0" w:line="240" w:lineRule="auto"/>
              <w:jc w:val="center"/>
            </w:pPr>
            <w:r>
              <w:t>0,13</w:t>
            </w:r>
          </w:p>
        </w:tc>
        <w:tc>
          <w:tcPr>
            <w:tcW w:w="732" w:type="pct"/>
            <w:tcBorders>
              <w:top w:val="nil"/>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nil"/>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nil"/>
              <w:right w:val="nil"/>
            </w:tcBorders>
            <w:noWrap/>
            <w:vAlign w:val="center"/>
            <w:hideMark/>
          </w:tcPr>
          <w:p w:rsidR="005324F8" w:rsidRDefault="005324F8" w:rsidP="005324F8">
            <w:pPr>
              <w:spacing w:after="0" w:line="240" w:lineRule="auto"/>
              <w:jc w:val="center"/>
            </w:pPr>
            <w:r>
              <w:t>3,36</w:t>
            </w:r>
          </w:p>
        </w:tc>
        <w:tc>
          <w:tcPr>
            <w:tcW w:w="441" w:type="pct"/>
            <w:tcBorders>
              <w:top w:val="nil"/>
              <w:left w:val="nil"/>
              <w:bottom w:val="nil"/>
              <w:right w:val="nil"/>
            </w:tcBorders>
            <w:noWrap/>
            <w:vAlign w:val="center"/>
            <w:hideMark/>
          </w:tcPr>
          <w:p w:rsidR="005324F8" w:rsidRDefault="005324F8" w:rsidP="005324F8">
            <w:pPr>
              <w:spacing w:after="0" w:line="240" w:lineRule="auto"/>
              <w:jc w:val="center"/>
              <w:rPr>
                <w:b/>
              </w:rPr>
            </w:pPr>
            <w:r>
              <w:rPr>
                <w:b/>
              </w:rPr>
              <w:t>19,61</w:t>
            </w:r>
          </w:p>
        </w:tc>
      </w:tr>
      <w:tr w:rsidR="005324F8" w:rsidTr="005324F8">
        <w:trPr>
          <w:trHeight w:hRule="exact" w:val="284"/>
        </w:trPr>
        <w:tc>
          <w:tcPr>
            <w:tcW w:w="715"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Peón Especial</w:t>
            </w:r>
          </w:p>
        </w:tc>
        <w:tc>
          <w:tcPr>
            <w:tcW w:w="334" w:type="pct"/>
            <w:tcBorders>
              <w:top w:val="nil"/>
              <w:left w:val="nil"/>
              <w:bottom w:val="nil"/>
              <w:right w:val="nil"/>
            </w:tcBorders>
            <w:noWrap/>
            <w:vAlign w:val="center"/>
            <w:hideMark/>
          </w:tcPr>
          <w:p w:rsidR="005324F8" w:rsidRDefault="005324F8" w:rsidP="005324F8">
            <w:pPr>
              <w:spacing w:after="0" w:line="240" w:lineRule="auto"/>
              <w:jc w:val="center"/>
            </w:pPr>
            <w:r>
              <w:t>11,43</w:t>
            </w:r>
          </w:p>
        </w:tc>
        <w:tc>
          <w:tcPr>
            <w:tcW w:w="473" w:type="pct"/>
            <w:tcBorders>
              <w:top w:val="nil"/>
              <w:left w:val="nil"/>
              <w:bottom w:val="nil"/>
              <w:right w:val="nil"/>
            </w:tcBorders>
            <w:noWrap/>
            <w:vAlign w:val="center"/>
            <w:hideMark/>
          </w:tcPr>
          <w:p w:rsidR="005324F8" w:rsidRDefault="005324F8" w:rsidP="005324F8">
            <w:pPr>
              <w:spacing w:after="0" w:line="240" w:lineRule="auto"/>
              <w:jc w:val="center"/>
            </w:pPr>
            <w:r>
              <w:t>16,00</w:t>
            </w:r>
          </w:p>
        </w:tc>
        <w:tc>
          <w:tcPr>
            <w:tcW w:w="693" w:type="pct"/>
            <w:tcBorders>
              <w:top w:val="nil"/>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nil"/>
              <w:right w:val="nil"/>
            </w:tcBorders>
            <w:noWrap/>
            <w:vAlign w:val="center"/>
            <w:hideMark/>
          </w:tcPr>
          <w:p w:rsidR="005324F8" w:rsidRDefault="005324F8" w:rsidP="005324F8">
            <w:pPr>
              <w:spacing w:after="0" w:line="240" w:lineRule="auto"/>
              <w:jc w:val="center"/>
            </w:pPr>
            <w:r>
              <w:t>0,13</w:t>
            </w:r>
          </w:p>
        </w:tc>
        <w:tc>
          <w:tcPr>
            <w:tcW w:w="732" w:type="pct"/>
            <w:tcBorders>
              <w:top w:val="nil"/>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nil"/>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nil"/>
              <w:right w:val="nil"/>
            </w:tcBorders>
            <w:noWrap/>
            <w:vAlign w:val="center"/>
            <w:hideMark/>
          </w:tcPr>
          <w:p w:rsidR="005324F8" w:rsidRDefault="005324F8" w:rsidP="005324F8">
            <w:pPr>
              <w:spacing w:after="0" w:line="240" w:lineRule="auto"/>
              <w:jc w:val="center"/>
            </w:pPr>
            <w:r>
              <w:t>3,36</w:t>
            </w:r>
          </w:p>
        </w:tc>
        <w:tc>
          <w:tcPr>
            <w:tcW w:w="441" w:type="pct"/>
            <w:tcBorders>
              <w:top w:val="nil"/>
              <w:left w:val="nil"/>
              <w:bottom w:val="nil"/>
              <w:right w:val="nil"/>
            </w:tcBorders>
            <w:noWrap/>
            <w:vAlign w:val="center"/>
            <w:hideMark/>
          </w:tcPr>
          <w:p w:rsidR="005324F8" w:rsidRDefault="005324F8" w:rsidP="005324F8">
            <w:pPr>
              <w:spacing w:after="0" w:line="240" w:lineRule="auto"/>
              <w:jc w:val="center"/>
              <w:rPr>
                <w:b/>
              </w:rPr>
            </w:pPr>
            <w:r>
              <w:rPr>
                <w:b/>
              </w:rPr>
              <w:t>19,35</w:t>
            </w:r>
          </w:p>
        </w:tc>
      </w:tr>
      <w:tr w:rsidR="005324F8" w:rsidTr="005324F8">
        <w:trPr>
          <w:trHeight w:hRule="exact" w:val="284"/>
        </w:trPr>
        <w:tc>
          <w:tcPr>
            <w:tcW w:w="715" w:type="pct"/>
            <w:tcBorders>
              <w:top w:val="nil"/>
              <w:left w:val="nil"/>
              <w:bottom w:val="nil"/>
              <w:right w:val="nil"/>
            </w:tcBorders>
            <w:noWrap/>
            <w:vAlign w:val="center"/>
            <w:hideMark/>
          </w:tcPr>
          <w:p w:rsidR="005324F8" w:rsidRDefault="005324F8" w:rsidP="005324F8">
            <w:pPr>
              <w:spacing w:after="0" w:line="240" w:lineRule="auto"/>
              <w:jc w:val="center"/>
              <w:rPr>
                <w:noProof/>
                <w:sz w:val="24"/>
              </w:rPr>
            </w:pPr>
            <w:r>
              <w:rPr>
                <w:noProof/>
              </w:rPr>
              <w:t>Peón Ordinario</w:t>
            </w:r>
          </w:p>
        </w:tc>
        <w:tc>
          <w:tcPr>
            <w:tcW w:w="334" w:type="pct"/>
            <w:tcBorders>
              <w:top w:val="nil"/>
              <w:left w:val="nil"/>
              <w:bottom w:val="nil"/>
              <w:right w:val="nil"/>
            </w:tcBorders>
            <w:noWrap/>
            <w:vAlign w:val="center"/>
            <w:hideMark/>
          </w:tcPr>
          <w:p w:rsidR="005324F8" w:rsidRDefault="005324F8" w:rsidP="005324F8">
            <w:pPr>
              <w:spacing w:after="0" w:line="240" w:lineRule="auto"/>
              <w:jc w:val="center"/>
            </w:pPr>
            <w:r>
              <w:t>11,31</w:t>
            </w:r>
          </w:p>
        </w:tc>
        <w:tc>
          <w:tcPr>
            <w:tcW w:w="473" w:type="pct"/>
            <w:tcBorders>
              <w:top w:val="nil"/>
              <w:left w:val="nil"/>
              <w:bottom w:val="nil"/>
              <w:right w:val="nil"/>
            </w:tcBorders>
            <w:noWrap/>
            <w:vAlign w:val="center"/>
            <w:hideMark/>
          </w:tcPr>
          <w:p w:rsidR="005324F8" w:rsidRDefault="005324F8" w:rsidP="005324F8">
            <w:pPr>
              <w:spacing w:after="0" w:line="240" w:lineRule="auto"/>
              <w:jc w:val="center"/>
            </w:pPr>
            <w:r>
              <w:t>15,83</w:t>
            </w:r>
          </w:p>
        </w:tc>
        <w:tc>
          <w:tcPr>
            <w:tcW w:w="693" w:type="pct"/>
            <w:tcBorders>
              <w:top w:val="nil"/>
              <w:left w:val="nil"/>
              <w:bottom w:val="nil"/>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nil"/>
              <w:right w:val="nil"/>
            </w:tcBorders>
            <w:noWrap/>
            <w:vAlign w:val="center"/>
            <w:hideMark/>
          </w:tcPr>
          <w:p w:rsidR="005324F8" w:rsidRDefault="005324F8" w:rsidP="005324F8">
            <w:pPr>
              <w:spacing w:after="0" w:line="240" w:lineRule="auto"/>
              <w:jc w:val="center"/>
            </w:pPr>
            <w:r>
              <w:t>0,13</w:t>
            </w:r>
          </w:p>
        </w:tc>
        <w:tc>
          <w:tcPr>
            <w:tcW w:w="732" w:type="pct"/>
            <w:tcBorders>
              <w:top w:val="nil"/>
              <w:left w:val="nil"/>
              <w:bottom w:val="nil"/>
              <w:right w:val="nil"/>
            </w:tcBorders>
            <w:noWrap/>
            <w:vAlign w:val="center"/>
            <w:hideMark/>
          </w:tcPr>
          <w:p w:rsidR="005324F8" w:rsidRDefault="005324F8" w:rsidP="005324F8">
            <w:pPr>
              <w:spacing w:after="0" w:line="240" w:lineRule="auto"/>
              <w:jc w:val="center"/>
            </w:pPr>
            <w:r>
              <w:t>0,87</w:t>
            </w:r>
          </w:p>
        </w:tc>
        <w:tc>
          <w:tcPr>
            <w:tcW w:w="382" w:type="pct"/>
            <w:tcBorders>
              <w:top w:val="nil"/>
              <w:left w:val="nil"/>
              <w:bottom w:val="nil"/>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nil"/>
              <w:right w:val="nil"/>
            </w:tcBorders>
            <w:noWrap/>
            <w:vAlign w:val="center"/>
            <w:hideMark/>
          </w:tcPr>
          <w:p w:rsidR="005324F8" w:rsidRDefault="005324F8" w:rsidP="005324F8">
            <w:pPr>
              <w:spacing w:after="0" w:line="240" w:lineRule="auto"/>
              <w:jc w:val="center"/>
            </w:pPr>
            <w:r>
              <w:t>3,36</w:t>
            </w:r>
          </w:p>
        </w:tc>
        <w:tc>
          <w:tcPr>
            <w:tcW w:w="441" w:type="pct"/>
            <w:tcBorders>
              <w:top w:val="nil"/>
              <w:left w:val="nil"/>
              <w:bottom w:val="nil"/>
              <w:right w:val="nil"/>
            </w:tcBorders>
            <w:noWrap/>
            <w:vAlign w:val="center"/>
            <w:hideMark/>
          </w:tcPr>
          <w:p w:rsidR="005324F8" w:rsidRDefault="005324F8" w:rsidP="005324F8">
            <w:pPr>
              <w:spacing w:after="0" w:line="240" w:lineRule="auto"/>
              <w:jc w:val="center"/>
              <w:rPr>
                <w:b/>
              </w:rPr>
            </w:pPr>
            <w:r>
              <w:rPr>
                <w:b/>
              </w:rPr>
              <w:t>19,19</w:t>
            </w:r>
          </w:p>
        </w:tc>
      </w:tr>
      <w:tr w:rsidR="005324F8" w:rsidTr="005324F8">
        <w:trPr>
          <w:trHeight w:hRule="exact" w:val="284"/>
        </w:trPr>
        <w:tc>
          <w:tcPr>
            <w:tcW w:w="715" w:type="pct"/>
            <w:tcBorders>
              <w:top w:val="nil"/>
              <w:left w:val="nil"/>
              <w:bottom w:val="single" w:sz="12" w:space="0" w:color="auto"/>
              <w:right w:val="nil"/>
            </w:tcBorders>
            <w:noWrap/>
            <w:vAlign w:val="center"/>
            <w:hideMark/>
          </w:tcPr>
          <w:p w:rsidR="005324F8" w:rsidRDefault="005324F8" w:rsidP="005324F8">
            <w:pPr>
              <w:spacing w:after="0" w:line="240" w:lineRule="auto"/>
              <w:jc w:val="center"/>
              <w:rPr>
                <w:noProof/>
                <w:sz w:val="24"/>
              </w:rPr>
            </w:pPr>
            <w:r>
              <w:rPr>
                <w:noProof/>
              </w:rPr>
              <w:t>Maquinista</w:t>
            </w:r>
          </w:p>
        </w:tc>
        <w:tc>
          <w:tcPr>
            <w:tcW w:w="334"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12,21</w:t>
            </w:r>
          </w:p>
        </w:tc>
        <w:tc>
          <w:tcPr>
            <w:tcW w:w="473"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17,09</w:t>
            </w:r>
          </w:p>
        </w:tc>
        <w:tc>
          <w:tcPr>
            <w:tcW w:w="693"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0,68</w:t>
            </w:r>
          </w:p>
        </w:tc>
        <w:tc>
          <w:tcPr>
            <w:tcW w:w="745" w:type="pct"/>
            <w:tcBorders>
              <w:top w:val="nil"/>
              <w:left w:val="nil"/>
              <w:bottom w:val="single" w:sz="12" w:space="0" w:color="auto"/>
              <w:right w:val="nil"/>
            </w:tcBorders>
            <w:noWrap/>
            <w:vAlign w:val="center"/>
          </w:tcPr>
          <w:p w:rsidR="005324F8" w:rsidRDefault="005324F8" w:rsidP="005324F8">
            <w:pPr>
              <w:spacing w:after="0" w:line="240" w:lineRule="auto"/>
              <w:jc w:val="center"/>
            </w:pPr>
          </w:p>
        </w:tc>
        <w:tc>
          <w:tcPr>
            <w:tcW w:w="732" w:type="pct"/>
            <w:tcBorders>
              <w:top w:val="nil"/>
              <w:left w:val="nil"/>
              <w:bottom w:val="single" w:sz="12" w:space="0" w:color="auto"/>
              <w:right w:val="nil"/>
            </w:tcBorders>
            <w:noWrap/>
            <w:vAlign w:val="center"/>
          </w:tcPr>
          <w:p w:rsidR="005324F8" w:rsidRDefault="005324F8" w:rsidP="005324F8">
            <w:pPr>
              <w:spacing w:after="0" w:line="240" w:lineRule="auto"/>
              <w:jc w:val="center"/>
            </w:pPr>
          </w:p>
        </w:tc>
        <w:tc>
          <w:tcPr>
            <w:tcW w:w="382"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1,68</w:t>
            </w:r>
          </w:p>
        </w:tc>
        <w:tc>
          <w:tcPr>
            <w:tcW w:w="486" w:type="pct"/>
            <w:tcBorders>
              <w:top w:val="nil"/>
              <w:left w:val="nil"/>
              <w:bottom w:val="single" w:sz="12" w:space="0" w:color="auto"/>
              <w:right w:val="nil"/>
            </w:tcBorders>
            <w:noWrap/>
            <w:vAlign w:val="center"/>
            <w:hideMark/>
          </w:tcPr>
          <w:p w:rsidR="005324F8" w:rsidRDefault="005324F8" w:rsidP="005324F8">
            <w:pPr>
              <w:spacing w:after="0" w:line="240" w:lineRule="auto"/>
              <w:jc w:val="center"/>
            </w:pPr>
            <w:r>
              <w:t>2,36</w:t>
            </w:r>
          </w:p>
        </w:tc>
        <w:tc>
          <w:tcPr>
            <w:tcW w:w="441" w:type="pct"/>
            <w:tcBorders>
              <w:top w:val="nil"/>
              <w:left w:val="nil"/>
              <w:bottom w:val="single" w:sz="12" w:space="0" w:color="auto"/>
              <w:right w:val="nil"/>
            </w:tcBorders>
            <w:noWrap/>
            <w:vAlign w:val="center"/>
            <w:hideMark/>
          </w:tcPr>
          <w:p w:rsidR="005324F8" w:rsidRDefault="005324F8" w:rsidP="005324F8">
            <w:pPr>
              <w:spacing w:after="0" w:line="240" w:lineRule="auto"/>
              <w:jc w:val="center"/>
              <w:rPr>
                <w:b/>
              </w:rPr>
            </w:pPr>
            <w:r>
              <w:rPr>
                <w:b/>
              </w:rPr>
              <w:t>19,45</w:t>
            </w:r>
          </w:p>
        </w:tc>
      </w:tr>
    </w:tbl>
    <w:p w:rsidR="005324F8" w:rsidRDefault="005324F8" w:rsidP="005324F8">
      <w:pPr>
        <w:pStyle w:val="Normal3"/>
      </w:pPr>
    </w:p>
    <w:p w:rsidR="005324F8" w:rsidRDefault="005324F8" w:rsidP="005324F8">
      <w:pPr>
        <w:pStyle w:val="TTULO01"/>
      </w:pPr>
      <w:bookmarkStart w:id="36" w:name="_Toc263408661"/>
      <w:bookmarkStart w:id="37" w:name="_Toc256678515"/>
      <w:bookmarkStart w:id="38" w:name="_Toc243976058"/>
      <w:bookmarkStart w:id="39" w:name="_Toc233176521"/>
      <w:bookmarkStart w:id="40" w:name="_Toc231805916"/>
      <w:bookmarkStart w:id="41" w:name="_Toc462164218"/>
      <w:bookmarkStart w:id="42" w:name="_Toc474484766"/>
      <w:r>
        <w:t>3.</w:t>
      </w:r>
      <w:r>
        <w:tab/>
        <w:t>Coste de la maquinaria</w:t>
      </w:r>
      <w:bookmarkEnd w:id="36"/>
      <w:bookmarkEnd w:id="37"/>
      <w:bookmarkEnd w:id="38"/>
      <w:bookmarkEnd w:id="39"/>
      <w:bookmarkEnd w:id="40"/>
      <w:bookmarkEnd w:id="41"/>
      <w:bookmarkEnd w:id="42"/>
    </w:p>
    <w:p w:rsidR="005324F8" w:rsidRDefault="005324F8" w:rsidP="005324F8">
      <w:r>
        <w:t xml:space="preserve">Para el cálculo del coste horario de las distintas maquinarias que componen los equipos a emplear en la obra, se ha seguido el Manuel de Costes de Maquinaría, elaborado por </w:t>
      </w:r>
      <w:proofErr w:type="spellStart"/>
      <w:r>
        <w:t>Seopan</w:t>
      </w:r>
      <w:proofErr w:type="spellEnd"/>
      <w:r>
        <w:t xml:space="preserve"> y </w:t>
      </w:r>
      <w:proofErr w:type="spellStart"/>
      <w:r>
        <w:t>Atemcop</w:t>
      </w:r>
      <w:proofErr w:type="spellEnd"/>
      <w:r>
        <w:t>, actualizándose el valor de adquisición de la maquinaria.</w:t>
      </w:r>
    </w:p>
    <w:p w:rsidR="005324F8" w:rsidRDefault="005324F8" w:rsidP="005324F8">
      <w:r>
        <w:t>Así, el coste directo de la maquinaria se compone de:</w:t>
      </w:r>
    </w:p>
    <w:p w:rsidR="005324F8" w:rsidRDefault="005324F8" w:rsidP="005324F8">
      <w:pPr>
        <w:ind w:left="907" w:hanging="340"/>
      </w:pPr>
      <w:r>
        <w:sym w:font="Wingdings" w:char="F0D8"/>
      </w:r>
      <w:r>
        <w:tab/>
      </w:r>
      <w:r w:rsidRPr="006637C9">
        <w:rPr>
          <w:b/>
        </w:rPr>
        <w:t xml:space="preserve">Costes </w:t>
      </w:r>
      <w:proofErr w:type="spellStart"/>
      <w:r w:rsidRPr="006637C9">
        <w:rPr>
          <w:b/>
        </w:rPr>
        <w:t>intrísecos</w:t>
      </w:r>
      <w:proofErr w:type="spellEnd"/>
      <w:r>
        <w:t>:</w:t>
      </w:r>
    </w:p>
    <w:p w:rsidR="005324F8" w:rsidRDefault="005324F8" w:rsidP="005324F8">
      <w:pPr>
        <w:spacing w:after="0"/>
        <w:ind w:left="1474" w:hanging="340"/>
      </w:pPr>
      <w:r>
        <w:t>-</w:t>
      </w:r>
      <w:r>
        <w:tab/>
        <w:t>Interés de la inversión.</w:t>
      </w:r>
    </w:p>
    <w:p w:rsidR="005324F8" w:rsidRDefault="005324F8" w:rsidP="005324F8">
      <w:pPr>
        <w:spacing w:after="0"/>
        <w:ind w:left="1474" w:hanging="340"/>
      </w:pPr>
      <w:r>
        <w:t>-</w:t>
      </w:r>
      <w:r>
        <w:tab/>
        <w:t>Amortización de la maquinaria.</w:t>
      </w:r>
    </w:p>
    <w:p w:rsidR="005324F8" w:rsidRDefault="005324F8" w:rsidP="005324F8">
      <w:pPr>
        <w:spacing w:after="0"/>
        <w:ind w:left="1474" w:hanging="340"/>
      </w:pPr>
      <w:r>
        <w:t>-</w:t>
      </w:r>
      <w:r>
        <w:tab/>
        <w:t>Seguros y otros gastos fijos.</w:t>
      </w:r>
    </w:p>
    <w:p w:rsidR="005324F8" w:rsidRDefault="005324F8" w:rsidP="005324F8">
      <w:pPr>
        <w:ind w:left="1474" w:hanging="340"/>
      </w:pPr>
      <w:r>
        <w:t>-</w:t>
      </w:r>
      <w:r>
        <w:tab/>
        <w:t>Reparaciones generales y conservación</w:t>
      </w:r>
    </w:p>
    <w:p w:rsidR="005324F8" w:rsidRDefault="005324F8" w:rsidP="005324F8">
      <w:pPr>
        <w:ind w:left="907" w:hanging="340"/>
      </w:pPr>
      <w:r>
        <w:tab/>
        <w:t>Estos costes están relacionados con el valor del equipo, son proporcionales al valor de la máquina.</w:t>
      </w:r>
    </w:p>
    <w:p w:rsidR="005324F8" w:rsidRDefault="005324F8" w:rsidP="005324F8">
      <w:pPr>
        <w:ind w:left="907" w:hanging="340"/>
      </w:pPr>
      <w:r>
        <w:tab/>
        <w:t>El coeficiente unitario en porcentaje del día de puesta a disposición de la máquina incluyendo días de reparaciones y días perdidos en parque, será:</w:t>
      </w:r>
    </w:p>
    <w:p w:rsidR="005324F8" w:rsidRDefault="005324F8" w:rsidP="005324F8">
      <w:pPr>
        <w:ind w:left="907" w:hanging="340"/>
        <w:jc w:val="center"/>
      </w:pPr>
      <w:r>
        <w:rPr>
          <w:rFonts w:eastAsia="Calibri" w:cs="Times New Roman"/>
          <w:position w:val="-30"/>
        </w:rPr>
        <w:object w:dxaOrig="2220" w:dyaOrig="705">
          <v:shape id="_x0000_i1028" type="#_x0000_t75" style="width:112.2pt;height:35.55pt" o:ole="">
            <v:imagedata r:id="rId15" o:title=""/>
          </v:shape>
          <o:OLEObject Type="Embed" ProgID="Equation.DSMT4" ShapeID="_x0000_i1028" DrawAspect="Content" ObjectID="_1548226663" r:id="rId16"/>
        </w:object>
      </w:r>
      <w:r>
        <w:t>, donde:</w:t>
      </w:r>
    </w:p>
    <w:p w:rsidR="005324F8" w:rsidRDefault="005324F8" w:rsidP="005324F8">
      <w:pPr>
        <w:spacing w:after="0"/>
        <w:ind w:left="1474" w:hanging="340"/>
      </w:pPr>
      <w:r>
        <w:rPr>
          <w:lang w:val="en-US"/>
        </w:rPr>
        <w:sym w:font="Wingdings" w:char="F0A0"/>
      </w:r>
      <w:r>
        <w:rPr>
          <w:lang w:val="en-US"/>
        </w:rPr>
        <w:tab/>
      </w:r>
      <w:r>
        <w:rPr>
          <w:i/>
        </w:rPr>
        <w:t>C</w:t>
      </w:r>
      <w:r>
        <w:rPr>
          <w:i/>
          <w:vertAlign w:val="subscript"/>
        </w:rPr>
        <w:t>d</w:t>
      </w:r>
      <w:r>
        <w:t xml:space="preserve">: Coeficiente unitario del día de puesta a disposición de la maquina expresado en porcentajes de </w:t>
      </w:r>
      <w:proofErr w:type="spellStart"/>
      <w:r>
        <w:t>V</w:t>
      </w:r>
      <w:r>
        <w:rPr>
          <w:vertAlign w:val="subscript"/>
        </w:rPr>
        <w:t>t</w:t>
      </w:r>
      <w:proofErr w:type="spellEnd"/>
      <w:r>
        <w:t>, siendo éste el valor de reposición de la máquina, e incluyendo días perdidos en parque. Se refiere a días naturales en los que esté presente la máquina en la obra independiente de que trabaje o no.</w:t>
      </w:r>
    </w:p>
    <w:p w:rsidR="005324F8" w:rsidRDefault="005324F8" w:rsidP="005324F8">
      <w:pPr>
        <w:spacing w:after="0"/>
        <w:ind w:left="1474" w:hanging="340"/>
      </w:pPr>
      <w:r>
        <w:rPr>
          <w:lang w:val="en-US"/>
        </w:rPr>
        <w:sym w:font="Wingdings" w:char="F0A0"/>
      </w:r>
      <w:r>
        <w:rPr>
          <w:lang w:val="en-US"/>
        </w:rPr>
        <w:tab/>
      </w:r>
      <w:proofErr w:type="spellStart"/>
      <w:r>
        <w:rPr>
          <w:i/>
        </w:rPr>
        <w:t>I</w:t>
      </w:r>
      <w:r>
        <w:rPr>
          <w:i/>
          <w:vertAlign w:val="subscript"/>
        </w:rPr>
        <w:t>m</w:t>
      </w:r>
      <w:proofErr w:type="spellEnd"/>
      <w:r>
        <w:t>: Interés medio anual estadístico de los días laborables de puesta a disposición de la máquina.</w:t>
      </w:r>
    </w:p>
    <w:p w:rsidR="005324F8" w:rsidRDefault="005324F8" w:rsidP="005324F8">
      <w:pPr>
        <w:spacing w:after="0"/>
        <w:ind w:left="1474" w:hanging="340"/>
      </w:pPr>
      <w:r>
        <w:rPr>
          <w:lang w:val="en-US"/>
        </w:rPr>
        <w:sym w:font="Wingdings" w:char="F0A0"/>
      </w:r>
      <w:r>
        <w:rPr>
          <w:lang w:val="en-US"/>
        </w:rPr>
        <w:tab/>
      </w:r>
      <w:r>
        <w:rPr>
          <w:i/>
        </w:rPr>
        <w:t>S</w:t>
      </w:r>
      <w:r>
        <w:t>: Seguros y otros gastos anuales.</w:t>
      </w:r>
    </w:p>
    <w:p w:rsidR="005324F8" w:rsidRDefault="005324F8" w:rsidP="005324F8">
      <w:pPr>
        <w:spacing w:after="0"/>
        <w:ind w:left="1474" w:hanging="340"/>
      </w:pPr>
      <w:r>
        <w:rPr>
          <w:lang w:val="en-US"/>
        </w:rPr>
        <w:sym w:font="Wingdings" w:char="F0A0"/>
      </w:r>
      <w:r>
        <w:rPr>
          <w:lang w:val="en-US"/>
        </w:rPr>
        <w:tab/>
      </w:r>
      <w:r>
        <w:rPr>
          <w:i/>
        </w:rPr>
        <w:t>E</w:t>
      </w:r>
      <w:r>
        <w:t xml:space="preserve">: Promedio </w:t>
      </w:r>
      <w:proofErr w:type="spellStart"/>
      <w:r>
        <w:t>annual</w:t>
      </w:r>
      <w:proofErr w:type="spellEnd"/>
      <w:r>
        <w:t xml:space="preserve"> estadístico de los días laborables de puesta a disposición de la máquina.</w:t>
      </w:r>
    </w:p>
    <w:p w:rsidR="005324F8" w:rsidRDefault="005324F8" w:rsidP="005324F8">
      <w:pPr>
        <w:spacing w:after="0"/>
        <w:ind w:left="1474" w:hanging="340"/>
      </w:pPr>
      <w:r>
        <w:rPr>
          <w:lang w:val="en-US"/>
        </w:rPr>
        <w:sym w:font="Wingdings" w:char="F0A0"/>
      </w:r>
      <w:r>
        <w:rPr>
          <w:lang w:val="en-US"/>
        </w:rPr>
        <w:tab/>
      </w:r>
      <w:r>
        <w:rPr>
          <w:i/>
        </w:rPr>
        <w:t>A</w:t>
      </w:r>
      <w:r>
        <w:rPr>
          <w:i/>
          <w:vertAlign w:val="subscript"/>
        </w:rPr>
        <w:t>d</w:t>
      </w:r>
      <w:r>
        <w:t>: Porcentaje de la amortización de la máquina que influye sobre el coste de puesta a disposición a ésta.</w:t>
      </w:r>
    </w:p>
    <w:p w:rsidR="005324F8" w:rsidRDefault="005324F8" w:rsidP="005324F8">
      <w:pPr>
        <w:spacing w:after="0"/>
        <w:ind w:left="1474" w:hanging="340"/>
      </w:pPr>
      <w:r>
        <w:rPr>
          <w:lang w:val="en-US"/>
        </w:rPr>
        <w:sym w:font="Wingdings" w:char="F0A0"/>
      </w:r>
      <w:r>
        <w:rPr>
          <w:lang w:val="en-US"/>
        </w:rPr>
        <w:tab/>
      </w:r>
      <w:proofErr w:type="spellStart"/>
      <w:r>
        <w:rPr>
          <w:i/>
        </w:rPr>
        <w:t>H</w:t>
      </w:r>
      <w:r>
        <w:rPr>
          <w:i/>
          <w:vertAlign w:val="subscript"/>
        </w:rPr>
        <w:t>ua</w:t>
      </w:r>
      <w:proofErr w:type="spellEnd"/>
      <w:r>
        <w:t>: Promedio anual estadístico de horas de funcionamiento de la máquina.</w:t>
      </w:r>
    </w:p>
    <w:p w:rsidR="005324F8" w:rsidRDefault="005324F8" w:rsidP="005324F8">
      <w:pPr>
        <w:ind w:left="1474" w:hanging="340"/>
      </w:pPr>
      <w:r>
        <w:rPr>
          <w:lang w:val="en-US"/>
        </w:rPr>
        <w:sym w:font="Wingdings" w:char="F0A0"/>
      </w:r>
      <w:r>
        <w:rPr>
          <w:lang w:val="en-US"/>
        </w:rPr>
        <w:tab/>
      </w:r>
      <w:proofErr w:type="spellStart"/>
      <w:r>
        <w:rPr>
          <w:i/>
        </w:rPr>
        <w:t>H</w:t>
      </w:r>
      <w:r>
        <w:rPr>
          <w:i/>
          <w:vertAlign w:val="subscript"/>
        </w:rPr>
        <w:t>ut</w:t>
      </w:r>
      <w:proofErr w:type="spellEnd"/>
      <w:r>
        <w:t>: Promedio de horas de funcionamiento económico, características de cada máquina.</w:t>
      </w:r>
    </w:p>
    <w:p w:rsidR="005324F8" w:rsidRDefault="005324F8" w:rsidP="005324F8">
      <w:pPr>
        <w:ind w:left="907" w:hanging="340"/>
      </w:pPr>
      <w:r>
        <w:tab/>
        <w:t>El coeficiente unitario, en tanto por ciento, de la hora de funcionamiento será:</w:t>
      </w:r>
    </w:p>
    <w:p w:rsidR="005324F8" w:rsidRDefault="005324F8" w:rsidP="005324F8">
      <w:pPr>
        <w:ind w:left="907" w:hanging="340"/>
        <w:jc w:val="center"/>
      </w:pPr>
      <w:r>
        <w:rPr>
          <w:rFonts w:eastAsia="Calibri" w:cs="Times New Roman"/>
          <w:position w:val="-30"/>
        </w:rPr>
        <w:object w:dxaOrig="2655" w:dyaOrig="705">
          <v:shape id="_x0000_i1029" type="#_x0000_t75" style="width:133.7pt;height:35.55pt" o:ole="">
            <v:imagedata r:id="rId17" o:title=""/>
          </v:shape>
          <o:OLEObject Type="Embed" ProgID="Equation.DSMT4" ShapeID="_x0000_i1029" DrawAspect="Content" ObjectID="_1548226664" r:id="rId18"/>
        </w:object>
      </w:r>
      <w:r>
        <w:t>, siendo:</w:t>
      </w:r>
    </w:p>
    <w:p w:rsidR="005324F8" w:rsidRDefault="005324F8" w:rsidP="005324F8">
      <w:pPr>
        <w:spacing w:after="0"/>
        <w:ind w:left="1474" w:hanging="340"/>
      </w:pPr>
      <w:r>
        <w:rPr>
          <w:lang w:val="en-US"/>
        </w:rPr>
        <w:sym w:font="Wingdings" w:char="F0A0"/>
      </w:r>
      <w:r>
        <w:rPr>
          <w:lang w:val="en-US"/>
        </w:rPr>
        <w:tab/>
      </w:r>
      <w:r>
        <w:rPr>
          <w:i/>
        </w:rPr>
        <w:t>C</w:t>
      </w:r>
      <w:r>
        <w:rPr>
          <w:i/>
          <w:vertAlign w:val="subscript"/>
        </w:rPr>
        <w:t>h</w:t>
      </w:r>
      <w:r>
        <w:t xml:space="preserve">: Coeficiente unitario de la hora de funcionamiento de la máquina, expresado en porcentaje de </w:t>
      </w:r>
      <w:proofErr w:type="spellStart"/>
      <w:r>
        <w:rPr>
          <w:i/>
        </w:rPr>
        <w:t>V</w:t>
      </w:r>
      <w:r>
        <w:rPr>
          <w:i/>
          <w:vertAlign w:val="subscript"/>
        </w:rPr>
        <w:t>t</w:t>
      </w:r>
      <w:proofErr w:type="spellEnd"/>
      <w:r>
        <w:t>. Hace referencia a las horas de trabajo efectivo de la máquina.</w:t>
      </w:r>
    </w:p>
    <w:p w:rsidR="005324F8" w:rsidRDefault="005324F8" w:rsidP="005324F8">
      <w:pPr>
        <w:ind w:left="1474" w:hanging="340"/>
      </w:pPr>
      <w:r>
        <w:rPr>
          <w:lang w:val="en-US"/>
        </w:rPr>
        <w:sym w:font="Wingdings" w:char="F0A0"/>
      </w:r>
      <w:r>
        <w:rPr>
          <w:lang w:val="en-US"/>
        </w:rPr>
        <w:tab/>
      </w:r>
      <w:r>
        <w:rPr>
          <w:i/>
        </w:rPr>
        <w:t>M+C</w:t>
      </w:r>
      <w:r>
        <w:t xml:space="preserve">: Gastos en porcentaje de </w:t>
      </w:r>
      <w:proofErr w:type="spellStart"/>
      <w:r>
        <w:rPr>
          <w:i/>
        </w:rPr>
        <w:t>V</w:t>
      </w:r>
      <w:r>
        <w:rPr>
          <w:i/>
          <w:vertAlign w:val="subscript"/>
        </w:rPr>
        <w:t>t</w:t>
      </w:r>
      <w:proofErr w:type="spellEnd"/>
      <w:r>
        <w:t>, debidos a reparaciones generales y conservación ordinaria de la máquina durante el período de longevidad.</w:t>
      </w:r>
    </w:p>
    <w:p w:rsidR="005324F8" w:rsidRDefault="005324F8" w:rsidP="005324F8">
      <w:pPr>
        <w:ind w:left="907" w:hanging="340"/>
      </w:pPr>
      <w:r>
        <w:tab/>
        <w:t xml:space="preserve">En general, el coste intrínseco de una máquina para un período de </w:t>
      </w:r>
      <w:r>
        <w:rPr>
          <w:i/>
        </w:rPr>
        <w:t>D</w:t>
      </w:r>
      <w:r>
        <w:t xml:space="preserve"> días durante los cuales ha trabajado en total </w:t>
      </w:r>
      <w:r>
        <w:rPr>
          <w:i/>
        </w:rPr>
        <w:t>H</w:t>
      </w:r>
      <w:r>
        <w:t xml:space="preserve"> horas, será:</w:t>
      </w:r>
    </w:p>
    <w:p w:rsidR="005324F8" w:rsidRDefault="005324F8" w:rsidP="005324F8">
      <w:pPr>
        <w:ind w:left="907" w:hanging="340"/>
        <w:jc w:val="center"/>
      </w:pPr>
      <w:r>
        <w:rPr>
          <w:rFonts w:eastAsia="Calibri" w:cs="Times New Roman"/>
          <w:position w:val="-24"/>
        </w:rPr>
        <w:object w:dxaOrig="2175" w:dyaOrig="645">
          <v:shape id="_x0000_i1030" type="#_x0000_t75" style="width:108.45pt;height:31.8pt" o:ole="">
            <v:imagedata r:id="rId19" o:title=""/>
          </v:shape>
          <o:OLEObject Type="Embed" ProgID="Equation.DSMT4" ShapeID="_x0000_i1030" DrawAspect="Content" ObjectID="_1548226665" r:id="rId20"/>
        </w:object>
      </w:r>
    </w:p>
    <w:p w:rsidR="005324F8" w:rsidRDefault="005324F8" w:rsidP="005324F8">
      <w:pPr>
        <w:ind w:left="907" w:hanging="340"/>
      </w:pPr>
      <w:r>
        <w:tab/>
        <w:t>Las empresas constructoras suelen prescindir en su contabilidad del coste de funcionamiento de las máquinas cuyo tipo de utilización de obra, bien por su carácter de útiles, bien por su escaso precio, o bien por la generalidad de su presente en obra, no está directamente relacionado con su funcionamiento; sustituyéndose por una tasa diaria por puesta a disposición, en la que quedan englobadas todas las competentes del coste intrínseco a la máquina para un periodo de D días será:</w:t>
      </w:r>
    </w:p>
    <w:p w:rsidR="005324F8" w:rsidRDefault="005324F8" w:rsidP="005324F8">
      <w:pPr>
        <w:ind w:left="907" w:hanging="340"/>
        <w:jc w:val="center"/>
      </w:pPr>
      <w:r>
        <w:rPr>
          <w:rFonts w:eastAsia="Calibri" w:cs="Times New Roman"/>
          <w:position w:val="-24"/>
        </w:rPr>
        <w:object w:dxaOrig="1185" w:dyaOrig="645">
          <v:shape id="_x0000_i1031" type="#_x0000_t75" style="width:58.9pt;height:31.8pt" o:ole="">
            <v:imagedata r:id="rId21" o:title=""/>
          </v:shape>
          <o:OLEObject Type="Embed" ProgID="Equation.DSMT4" ShapeID="_x0000_i1031" DrawAspect="Content" ObjectID="_1548226666" r:id="rId22"/>
        </w:object>
      </w:r>
      <w:r>
        <w:t xml:space="preserve">, siendo </w:t>
      </w:r>
      <w:r>
        <w:rPr>
          <w:rFonts w:eastAsia="Calibri" w:cs="Times New Roman"/>
          <w:position w:val="-12"/>
        </w:rPr>
        <w:object w:dxaOrig="1260" w:dyaOrig="360">
          <v:shape id="_x0000_i1032" type="#_x0000_t75" style="width:62.65pt;height:17.75pt" o:ole="">
            <v:imagedata r:id="rId23" o:title=""/>
          </v:shape>
          <o:OLEObject Type="Embed" ProgID="Equation.DSMT4" ShapeID="_x0000_i1032" DrawAspect="Content" ObjectID="_1548226667" r:id="rId24"/>
        </w:object>
      </w:r>
    </w:p>
    <w:p w:rsidR="005324F8" w:rsidRDefault="005324F8" w:rsidP="005324F8">
      <w:pPr>
        <w:ind w:left="907" w:hanging="340"/>
      </w:pPr>
      <w:r>
        <w:sym w:font="Wingdings" w:char="F0D8"/>
      </w:r>
      <w:r>
        <w:tab/>
      </w:r>
      <w:r w:rsidRPr="00075EEC">
        <w:rPr>
          <w:b/>
        </w:rPr>
        <w:t>Costes complementarios</w:t>
      </w:r>
      <w:r>
        <w:t>:</w:t>
      </w:r>
    </w:p>
    <w:p w:rsidR="005324F8" w:rsidRDefault="005324F8" w:rsidP="005324F8">
      <w:pPr>
        <w:ind w:left="907" w:hanging="340"/>
      </w:pPr>
      <w:r>
        <w:tab/>
        <w:t>Estos costes dependen de la máquina a emplear, pero no son proporcionales a su valor.</w:t>
      </w:r>
    </w:p>
    <w:p w:rsidR="005324F8" w:rsidRDefault="005324F8" w:rsidP="005324F8">
      <w:pPr>
        <w:ind w:left="907" w:hanging="340"/>
      </w:pPr>
      <w:r>
        <w:tab/>
        <w:t>Están constituidos por:</w:t>
      </w:r>
    </w:p>
    <w:p w:rsidR="005324F8" w:rsidRDefault="005324F8" w:rsidP="005324F8">
      <w:pPr>
        <w:spacing w:after="0"/>
        <w:ind w:left="1474" w:hanging="340"/>
      </w:pPr>
      <w:r>
        <w:lastRenderedPageBreak/>
        <w:t>-</w:t>
      </w:r>
      <w:r>
        <w:tab/>
        <w:t>Mano de obra de manejo y mantenimiento diario. Se refiere a personal especializado, maquinista y ayudante con la colaboración de algún peón.</w:t>
      </w:r>
    </w:p>
    <w:p w:rsidR="005324F8" w:rsidRDefault="005324F8" w:rsidP="005324F8">
      <w:pPr>
        <w:ind w:left="1474" w:hanging="340"/>
      </w:pPr>
      <w:r>
        <w:t>-</w:t>
      </w:r>
      <w:r>
        <w:tab/>
        <w:t>Consumos de energía. Se clasifican en dos clases:</w:t>
      </w:r>
    </w:p>
    <w:p w:rsidR="005324F8" w:rsidRDefault="005324F8" w:rsidP="005324F8">
      <w:pPr>
        <w:spacing w:after="0"/>
        <w:ind w:left="2041" w:hanging="340"/>
      </w:pPr>
      <w:r>
        <w:sym w:font="Wingdings" w:char="F0A0"/>
      </w:r>
      <w:r>
        <w:tab/>
      </w:r>
      <w:r>
        <w:rPr>
          <w:i/>
        </w:rPr>
        <w:t>Principales</w:t>
      </w:r>
      <w:r>
        <w:t>: Son gasóleo, gasolina y energía eléctrica.</w:t>
      </w:r>
    </w:p>
    <w:p w:rsidR="005324F8" w:rsidRDefault="005324F8" w:rsidP="005324F8">
      <w:pPr>
        <w:ind w:left="2041" w:hanging="340"/>
      </w:pPr>
      <w:r>
        <w:sym w:font="Wingdings" w:char="F0A0"/>
      </w:r>
      <w:r>
        <w:tab/>
      </w:r>
      <w:r>
        <w:rPr>
          <w:i/>
        </w:rPr>
        <w:t>Secundarios</w:t>
      </w:r>
      <w:r>
        <w:t>: Se estimarán como un porcentaje sobre el coste de los consumos principales, estando constituidos por materiales de lubricación y accesorios para los mismos fines.</w:t>
      </w:r>
    </w:p>
    <w:p w:rsidR="005324F8" w:rsidRDefault="005324F8" w:rsidP="005324F8"/>
    <w:p w:rsidR="005324F8" w:rsidRDefault="005324F8" w:rsidP="00075EEC">
      <w:pPr>
        <w:pStyle w:val="TTULO01"/>
      </w:pPr>
      <w:bookmarkStart w:id="43" w:name="_Toc263408662"/>
      <w:bookmarkStart w:id="44" w:name="_Toc256678516"/>
      <w:bookmarkStart w:id="45" w:name="_Toc243976059"/>
      <w:bookmarkStart w:id="46" w:name="_Toc233176522"/>
      <w:bookmarkStart w:id="47" w:name="_Toc231805917"/>
      <w:bookmarkStart w:id="48" w:name="_Toc462164219"/>
      <w:bookmarkStart w:id="49" w:name="_Toc474484767"/>
      <w:r>
        <w:t>4.</w:t>
      </w:r>
      <w:r>
        <w:tab/>
        <w:t>Coste de los materiales a pie de obra</w:t>
      </w:r>
      <w:bookmarkEnd w:id="43"/>
      <w:bookmarkEnd w:id="44"/>
      <w:bookmarkEnd w:id="45"/>
      <w:bookmarkEnd w:id="46"/>
      <w:bookmarkEnd w:id="47"/>
      <w:bookmarkEnd w:id="48"/>
      <w:bookmarkEnd w:id="49"/>
    </w:p>
    <w:p w:rsidR="005324F8" w:rsidRDefault="005324F8" w:rsidP="005324F8">
      <w:r>
        <w:t>No se ha incluido el I.V.A. en la formación de los precios de los materiales que conforman las diferentes unidades de obra, ni en los de ningún componente de los mismos.</w:t>
      </w:r>
    </w:p>
    <w:p w:rsidR="005324F8" w:rsidRDefault="005324F8" w:rsidP="005324F8">
      <w:r>
        <w:t>Para el presupuesto se ha consultado los precios medios de los materiales en la Provincia de Cádiz en el año 201</w:t>
      </w:r>
      <w:r w:rsidR="00075EEC">
        <w:t>7</w:t>
      </w:r>
      <w:r>
        <w:t>.</w:t>
      </w:r>
    </w:p>
    <w:p w:rsidR="005324F8" w:rsidRDefault="005324F8" w:rsidP="005324F8"/>
    <w:p w:rsidR="005324F8" w:rsidRDefault="005324F8" w:rsidP="00075EEC">
      <w:pPr>
        <w:pStyle w:val="TTULO01"/>
      </w:pPr>
      <w:bookmarkStart w:id="50" w:name="_Toc263408663"/>
      <w:bookmarkStart w:id="51" w:name="_Toc256678517"/>
      <w:bookmarkStart w:id="52" w:name="_Toc243976060"/>
      <w:bookmarkStart w:id="53" w:name="_Toc233176523"/>
      <w:bookmarkStart w:id="54" w:name="_Toc231805918"/>
      <w:bookmarkStart w:id="55" w:name="_Toc462164220"/>
      <w:bookmarkStart w:id="56" w:name="_Toc474484768"/>
      <w:r>
        <w:t>5.</w:t>
      </w:r>
      <w:r>
        <w:tab/>
        <w:t>Justificación de los costes indirectos</w:t>
      </w:r>
      <w:bookmarkEnd w:id="50"/>
      <w:bookmarkEnd w:id="51"/>
      <w:bookmarkEnd w:id="52"/>
      <w:bookmarkEnd w:id="53"/>
      <w:bookmarkEnd w:id="54"/>
      <w:bookmarkEnd w:id="55"/>
      <w:bookmarkEnd w:id="56"/>
    </w:p>
    <w:p w:rsidR="005324F8" w:rsidRDefault="005324F8" w:rsidP="005324F8">
      <w:r>
        <w:t>Siguiendo lo especificado para las obras terrestres en el artículo 13 de la Norma Complementaria al Reglamento General de Contratación, es preciso asignar un porcentaje de costes indirectos a los precios que recoja los costes en que incurre la Jefatura de la Obra, que no se incluyen en ninguna partida.</w:t>
      </w:r>
    </w:p>
    <w:p w:rsidR="005324F8" w:rsidRDefault="005324F8" w:rsidP="005324F8">
      <w:r>
        <w:t>En este caso, el desglose de dichos costes es el siguiente:</w:t>
      </w:r>
    </w:p>
    <w:p w:rsidR="005324F8" w:rsidRDefault="005324F8" w:rsidP="005324F8"/>
    <w:tbl>
      <w:tblPr>
        <w:tblW w:w="0" w:type="auto"/>
        <w:jc w:val="center"/>
        <w:tblLook w:val="04A0" w:firstRow="1" w:lastRow="0" w:firstColumn="1" w:lastColumn="0" w:noHBand="0" w:noVBand="1"/>
      </w:tblPr>
      <w:tblGrid>
        <w:gridCol w:w="4363"/>
        <w:gridCol w:w="1689"/>
        <w:gridCol w:w="1105"/>
        <w:gridCol w:w="1603"/>
      </w:tblGrid>
      <w:tr w:rsidR="005324F8" w:rsidRPr="00141ECA" w:rsidTr="005324F8">
        <w:trPr>
          <w:jc w:val="center"/>
        </w:trPr>
        <w:tc>
          <w:tcPr>
            <w:tcW w:w="8760" w:type="dxa"/>
            <w:gridSpan w:val="4"/>
            <w:vAlign w:val="center"/>
            <w:hideMark/>
          </w:tcPr>
          <w:p w:rsidR="005324F8" w:rsidRPr="00141ECA" w:rsidRDefault="005324F8" w:rsidP="005324F8">
            <w:pPr>
              <w:pStyle w:val="Normal-Proyecto"/>
              <w:spacing w:after="0" w:line="240" w:lineRule="auto"/>
              <w:rPr>
                <w:rFonts w:ascii="Arial Narrow" w:hAnsi="Arial Narrow" w:cs="Arial"/>
                <w:b/>
                <w:sz w:val="22"/>
              </w:rPr>
            </w:pPr>
            <w:r w:rsidRPr="00141ECA">
              <w:rPr>
                <w:rFonts w:ascii="Arial Narrow" w:hAnsi="Arial Narrow" w:cs="Arial"/>
                <w:b/>
                <w:sz w:val="22"/>
              </w:rPr>
              <w:t>Personal Técnico y Administrativo</w:t>
            </w:r>
          </w:p>
        </w:tc>
      </w:tr>
      <w:tr w:rsidR="005324F8" w:rsidRPr="00141ECA" w:rsidTr="005324F8">
        <w:trPr>
          <w:jc w:val="center"/>
        </w:trPr>
        <w:tc>
          <w:tcPr>
            <w:tcW w:w="4186" w:type="dxa"/>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CATEGORÍA</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COSTE MENSUAL</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Nº. MESES</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IMPORTE TOTAL</w:t>
            </w:r>
          </w:p>
        </w:tc>
      </w:tr>
      <w:tr w:rsidR="005324F8" w:rsidRPr="00141ECA" w:rsidTr="005324F8">
        <w:trPr>
          <w:jc w:val="center"/>
        </w:trPr>
        <w:tc>
          <w:tcPr>
            <w:tcW w:w="4186" w:type="dxa"/>
            <w:tcBorders>
              <w:top w:val="single" w:sz="4" w:space="0" w:color="000000"/>
              <w:left w:val="nil"/>
              <w:bottom w:val="nil"/>
              <w:right w:val="nil"/>
            </w:tcBorders>
            <w:vAlign w:val="center"/>
            <w:hideMark/>
          </w:tcPr>
          <w:p w:rsidR="005324F8" w:rsidRPr="00141ECA" w:rsidRDefault="005324F8" w:rsidP="005324F8">
            <w:pPr>
              <w:pStyle w:val="Normal-Proyecto"/>
              <w:spacing w:after="0" w:line="240" w:lineRule="auto"/>
              <w:rPr>
                <w:rFonts w:ascii="Arial Narrow" w:hAnsi="Arial Narrow" w:cs="Arial"/>
                <w:sz w:val="22"/>
              </w:rPr>
            </w:pPr>
            <w:r w:rsidRPr="00141ECA">
              <w:rPr>
                <w:rFonts w:ascii="Arial Narrow" w:hAnsi="Arial Narrow" w:cs="Arial"/>
                <w:sz w:val="22"/>
              </w:rPr>
              <w:t>Equipo cualificado para el correcto desarrollo de la obra, compuesto por Ing. de Caminos, Canales y Puertos, ITOP y Encargado de obra, así como vehículos, con dedicaciones al 50%.</w:t>
            </w:r>
          </w:p>
        </w:tc>
        <w:tc>
          <w:tcPr>
            <w:tcW w:w="0" w:type="auto"/>
            <w:tcBorders>
              <w:top w:val="single" w:sz="4" w:space="0" w:color="000000"/>
              <w:left w:val="nil"/>
              <w:bottom w:val="nil"/>
              <w:right w:val="nil"/>
            </w:tcBorders>
            <w:vAlign w:val="center"/>
            <w:hideMark/>
          </w:tcPr>
          <w:p w:rsidR="005324F8" w:rsidRPr="00141ECA" w:rsidRDefault="00141ECA" w:rsidP="00141ECA">
            <w:pPr>
              <w:pStyle w:val="Normal-Proyecto"/>
              <w:spacing w:after="0" w:line="240" w:lineRule="auto"/>
              <w:jc w:val="right"/>
              <w:rPr>
                <w:rFonts w:ascii="Arial Narrow" w:hAnsi="Arial Narrow" w:cs="Arial"/>
                <w:sz w:val="22"/>
              </w:rPr>
            </w:pPr>
            <w:r w:rsidRPr="00141ECA">
              <w:rPr>
                <w:rFonts w:ascii="Arial Narrow" w:hAnsi="Arial Narrow" w:cs="Arial"/>
                <w:sz w:val="22"/>
              </w:rPr>
              <w:t>1</w:t>
            </w:r>
            <w:r w:rsidR="005324F8" w:rsidRPr="00141ECA">
              <w:rPr>
                <w:rFonts w:ascii="Arial Narrow" w:hAnsi="Arial Narrow" w:cs="Arial"/>
                <w:sz w:val="22"/>
              </w:rPr>
              <w:t>.</w:t>
            </w:r>
            <w:r w:rsidRPr="00141ECA">
              <w:rPr>
                <w:rFonts w:ascii="Arial Narrow" w:hAnsi="Arial Narrow" w:cs="Arial"/>
                <w:sz w:val="22"/>
              </w:rPr>
              <w:t>75</w:t>
            </w:r>
            <w:r w:rsidR="005324F8" w:rsidRPr="00141ECA">
              <w:rPr>
                <w:rFonts w:ascii="Arial Narrow" w:hAnsi="Arial Narrow" w:cs="Arial"/>
                <w:sz w:val="22"/>
              </w:rPr>
              <w:t>0,00 €</w:t>
            </w:r>
          </w:p>
        </w:tc>
        <w:tc>
          <w:tcPr>
            <w:tcW w:w="0" w:type="auto"/>
            <w:tcBorders>
              <w:top w:val="single" w:sz="4" w:space="0" w:color="000000"/>
              <w:left w:val="nil"/>
              <w:bottom w:val="nil"/>
              <w:right w:val="nil"/>
            </w:tcBorders>
            <w:vAlign w:val="center"/>
            <w:hideMark/>
          </w:tcPr>
          <w:p w:rsidR="005324F8" w:rsidRPr="00141ECA"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6</w:t>
            </w:r>
          </w:p>
        </w:tc>
        <w:tc>
          <w:tcPr>
            <w:tcW w:w="0" w:type="auto"/>
            <w:tcBorders>
              <w:top w:val="single" w:sz="4" w:space="0" w:color="000000"/>
              <w:left w:val="nil"/>
              <w:bottom w:val="nil"/>
              <w:right w:val="nil"/>
            </w:tcBorders>
            <w:vAlign w:val="center"/>
            <w:hideMark/>
          </w:tcPr>
          <w:p w:rsidR="005324F8" w:rsidRPr="00141ECA"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10.5</w:t>
            </w:r>
            <w:r w:rsidR="005324F8" w:rsidRPr="00141ECA">
              <w:rPr>
                <w:rFonts w:ascii="Arial Narrow" w:hAnsi="Arial Narrow" w:cs="Arial"/>
                <w:sz w:val="22"/>
              </w:rPr>
              <w:t>00,00 €</w:t>
            </w:r>
          </w:p>
        </w:tc>
      </w:tr>
      <w:tr w:rsidR="005324F8" w:rsidRPr="00141ECA" w:rsidTr="005324F8">
        <w:trPr>
          <w:jc w:val="center"/>
        </w:trPr>
        <w:tc>
          <w:tcPr>
            <w:tcW w:w="7090" w:type="dxa"/>
            <w:gridSpan w:val="3"/>
            <w:tcBorders>
              <w:top w:val="single" w:sz="4" w:space="0" w:color="000000"/>
              <w:left w:val="nil"/>
              <w:bottom w:val="nil"/>
              <w:right w:val="nil"/>
            </w:tcBorders>
            <w:vAlign w:val="center"/>
            <w:hideMark/>
          </w:tcPr>
          <w:p w:rsidR="005324F8" w:rsidRPr="00141ECA" w:rsidRDefault="005324F8" w:rsidP="005324F8">
            <w:pPr>
              <w:pStyle w:val="Normal-Proyecto"/>
              <w:spacing w:after="0" w:line="240" w:lineRule="auto"/>
              <w:rPr>
                <w:rFonts w:ascii="Arial Narrow" w:hAnsi="Arial Narrow" w:cs="Arial"/>
                <w:sz w:val="22"/>
              </w:rPr>
            </w:pPr>
            <w:r w:rsidRPr="00141ECA">
              <w:rPr>
                <w:rFonts w:ascii="Arial Narrow" w:hAnsi="Arial Narrow" w:cs="Arial"/>
                <w:sz w:val="22"/>
              </w:rPr>
              <w:t>TOTAL REMUNERACIONES</w:t>
            </w:r>
          </w:p>
        </w:tc>
        <w:tc>
          <w:tcPr>
            <w:tcW w:w="0" w:type="auto"/>
            <w:tcBorders>
              <w:top w:val="single" w:sz="4" w:space="0" w:color="000000"/>
              <w:left w:val="nil"/>
              <w:bottom w:val="nil"/>
              <w:right w:val="nil"/>
            </w:tcBorders>
            <w:vAlign w:val="center"/>
            <w:hideMark/>
          </w:tcPr>
          <w:p w:rsidR="005324F8" w:rsidRPr="00141ECA"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10.5</w:t>
            </w:r>
            <w:r w:rsidR="005324F8" w:rsidRPr="00141ECA">
              <w:rPr>
                <w:rFonts w:ascii="Arial Narrow" w:hAnsi="Arial Narrow" w:cs="Arial"/>
                <w:sz w:val="22"/>
              </w:rPr>
              <w:t>00,00 €</w:t>
            </w:r>
          </w:p>
        </w:tc>
      </w:tr>
      <w:tr w:rsidR="005324F8" w:rsidRPr="00141ECA" w:rsidTr="005324F8">
        <w:trPr>
          <w:jc w:val="center"/>
        </w:trPr>
        <w:tc>
          <w:tcPr>
            <w:tcW w:w="8760" w:type="dxa"/>
            <w:gridSpan w:val="4"/>
          </w:tcPr>
          <w:p w:rsidR="005324F8" w:rsidRPr="00141ECA" w:rsidRDefault="005324F8" w:rsidP="005324F8">
            <w:pPr>
              <w:pStyle w:val="Normal-Proyecto"/>
              <w:spacing w:after="0" w:line="240" w:lineRule="auto"/>
              <w:rPr>
                <w:rFonts w:ascii="Arial Narrow" w:hAnsi="Arial Narrow" w:cs="Arial"/>
                <w:sz w:val="22"/>
              </w:rPr>
            </w:pPr>
          </w:p>
        </w:tc>
      </w:tr>
      <w:tr w:rsidR="005324F8" w:rsidRPr="00141ECA" w:rsidTr="005324F8">
        <w:trPr>
          <w:jc w:val="center"/>
        </w:trPr>
        <w:tc>
          <w:tcPr>
            <w:tcW w:w="8760" w:type="dxa"/>
            <w:gridSpan w:val="4"/>
            <w:vAlign w:val="center"/>
            <w:hideMark/>
          </w:tcPr>
          <w:p w:rsidR="005324F8" w:rsidRPr="00141ECA" w:rsidRDefault="005324F8" w:rsidP="005324F8">
            <w:pPr>
              <w:pStyle w:val="Normal-Proyecto"/>
              <w:spacing w:after="0" w:line="240" w:lineRule="auto"/>
              <w:rPr>
                <w:rFonts w:ascii="Arial Narrow" w:hAnsi="Arial Narrow" w:cs="Arial"/>
                <w:b/>
                <w:sz w:val="22"/>
              </w:rPr>
            </w:pPr>
            <w:r w:rsidRPr="00141ECA">
              <w:rPr>
                <w:rFonts w:ascii="Arial Narrow" w:hAnsi="Arial Narrow" w:cs="Arial"/>
                <w:b/>
                <w:sz w:val="22"/>
              </w:rPr>
              <w:t>Instalaciones y oficinas móviles equipadas con medios auxiliares y material de oficina para adecuado desarrollo de las tareas específicas. Vehículos y medios complementarios para facilitar desplazamientos internos al recinto de la obra.</w:t>
            </w:r>
          </w:p>
        </w:tc>
      </w:tr>
      <w:tr w:rsidR="005324F8" w:rsidRPr="00141ECA" w:rsidTr="005324F8">
        <w:trPr>
          <w:jc w:val="center"/>
        </w:trPr>
        <w:tc>
          <w:tcPr>
            <w:tcW w:w="4186" w:type="dxa"/>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CATEGORÍA</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COSTE MENSUAL</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Nº. MESES</w:t>
            </w:r>
          </w:p>
        </w:tc>
        <w:tc>
          <w:tcPr>
            <w:tcW w:w="0" w:type="auto"/>
            <w:tcBorders>
              <w:top w:val="nil"/>
              <w:left w:val="nil"/>
              <w:bottom w:val="single" w:sz="4" w:space="0" w:color="000000"/>
              <w:right w:val="nil"/>
            </w:tcBorders>
            <w:vAlign w:val="center"/>
            <w:hideMark/>
          </w:tcPr>
          <w:p w:rsidR="005324F8" w:rsidRPr="00141ECA" w:rsidRDefault="005324F8" w:rsidP="005324F8">
            <w:pPr>
              <w:pStyle w:val="Normal-Proyecto"/>
              <w:spacing w:after="0" w:line="240" w:lineRule="auto"/>
              <w:jc w:val="center"/>
              <w:rPr>
                <w:rFonts w:ascii="Arial Narrow" w:hAnsi="Arial Narrow" w:cs="Arial"/>
                <w:sz w:val="20"/>
              </w:rPr>
            </w:pPr>
            <w:r w:rsidRPr="00141ECA">
              <w:rPr>
                <w:rFonts w:ascii="Arial Narrow" w:hAnsi="Arial Narrow" w:cs="Arial"/>
                <w:sz w:val="20"/>
              </w:rPr>
              <w:t>IMPORTE TOTAL</w:t>
            </w:r>
          </w:p>
        </w:tc>
      </w:tr>
      <w:tr w:rsidR="005324F8" w:rsidRPr="00141ECA" w:rsidTr="005324F8">
        <w:trPr>
          <w:jc w:val="center"/>
        </w:trPr>
        <w:tc>
          <w:tcPr>
            <w:tcW w:w="4186" w:type="dxa"/>
            <w:tcBorders>
              <w:top w:val="single" w:sz="4" w:space="0" w:color="000000"/>
              <w:left w:val="nil"/>
              <w:bottom w:val="nil"/>
              <w:right w:val="nil"/>
            </w:tcBorders>
            <w:vAlign w:val="center"/>
            <w:hideMark/>
          </w:tcPr>
          <w:p w:rsidR="005324F8" w:rsidRPr="00141ECA" w:rsidRDefault="005324F8" w:rsidP="005324F8">
            <w:pPr>
              <w:pStyle w:val="Normal-Proyecto"/>
              <w:spacing w:after="0" w:line="240" w:lineRule="auto"/>
              <w:rPr>
                <w:rFonts w:ascii="Arial Narrow" w:hAnsi="Arial Narrow" w:cs="Arial"/>
                <w:sz w:val="22"/>
              </w:rPr>
            </w:pPr>
            <w:r w:rsidRPr="00141ECA">
              <w:rPr>
                <w:rFonts w:ascii="Arial Narrow" w:hAnsi="Arial Narrow" w:cs="Arial"/>
                <w:sz w:val="22"/>
              </w:rPr>
              <w:t>Varios</w:t>
            </w:r>
          </w:p>
        </w:tc>
        <w:tc>
          <w:tcPr>
            <w:tcW w:w="0" w:type="auto"/>
            <w:tcBorders>
              <w:top w:val="single" w:sz="4" w:space="0" w:color="000000"/>
              <w:left w:val="nil"/>
              <w:bottom w:val="nil"/>
              <w:right w:val="nil"/>
            </w:tcBorders>
            <w:vAlign w:val="center"/>
            <w:hideMark/>
          </w:tcPr>
          <w:p w:rsidR="005324F8" w:rsidRPr="00141ECA" w:rsidRDefault="005324F8"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1.000,00 €</w:t>
            </w:r>
          </w:p>
        </w:tc>
        <w:tc>
          <w:tcPr>
            <w:tcW w:w="0" w:type="auto"/>
            <w:tcBorders>
              <w:top w:val="single" w:sz="4" w:space="0" w:color="000000"/>
              <w:left w:val="nil"/>
              <w:bottom w:val="nil"/>
              <w:right w:val="nil"/>
            </w:tcBorders>
            <w:vAlign w:val="center"/>
            <w:hideMark/>
          </w:tcPr>
          <w:p w:rsidR="005324F8" w:rsidRPr="00141ECA"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6</w:t>
            </w:r>
          </w:p>
        </w:tc>
        <w:tc>
          <w:tcPr>
            <w:tcW w:w="0" w:type="auto"/>
            <w:tcBorders>
              <w:top w:val="single" w:sz="4" w:space="0" w:color="000000"/>
              <w:left w:val="nil"/>
              <w:bottom w:val="nil"/>
              <w:right w:val="nil"/>
            </w:tcBorders>
            <w:vAlign w:val="center"/>
            <w:hideMark/>
          </w:tcPr>
          <w:p w:rsidR="005324F8" w:rsidRPr="00141ECA"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6</w:t>
            </w:r>
            <w:r w:rsidR="005324F8" w:rsidRPr="00141ECA">
              <w:rPr>
                <w:rFonts w:ascii="Arial Narrow" w:hAnsi="Arial Narrow" w:cs="Arial"/>
                <w:sz w:val="22"/>
              </w:rPr>
              <w:t>.000,00 €</w:t>
            </w:r>
          </w:p>
        </w:tc>
      </w:tr>
      <w:tr w:rsidR="005324F8" w:rsidTr="005324F8">
        <w:trPr>
          <w:jc w:val="center"/>
        </w:trPr>
        <w:tc>
          <w:tcPr>
            <w:tcW w:w="7090" w:type="dxa"/>
            <w:gridSpan w:val="3"/>
            <w:tcBorders>
              <w:top w:val="single" w:sz="4" w:space="0" w:color="000000"/>
              <w:left w:val="nil"/>
              <w:bottom w:val="nil"/>
              <w:right w:val="nil"/>
            </w:tcBorders>
            <w:vAlign w:val="center"/>
            <w:hideMark/>
          </w:tcPr>
          <w:p w:rsidR="005324F8" w:rsidRPr="00141ECA" w:rsidRDefault="005324F8" w:rsidP="005324F8">
            <w:pPr>
              <w:pStyle w:val="Normal-Proyecto"/>
              <w:spacing w:after="0" w:line="240" w:lineRule="auto"/>
              <w:rPr>
                <w:rFonts w:ascii="Arial Narrow" w:hAnsi="Arial Narrow" w:cs="Arial"/>
                <w:sz w:val="22"/>
              </w:rPr>
            </w:pPr>
            <w:r w:rsidRPr="00141ECA">
              <w:rPr>
                <w:rFonts w:ascii="Arial Narrow" w:hAnsi="Arial Narrow" w:cs="Arial"/>
                <w:sz w:val="22"/>
              </w:rPr>
              <w:t>TOTAL REMUNERACIONES</w:t>
            </w:r>
          </w:p>
        </w:tc>
        <w:tc>
          <w:tcPr>
            <w:tcW w:w="0" w:type="auto"/>
            <w:tcBorders>
              <w:top w:val="single" w:sz="4" w:space="0" w:color="000000"/>
              <w:left w:val="nil"/>
              <w:bottom w:val="nil"/>
              <w:right w:val="nil"/>
            </w:tcBorders>
            <w:vAlign w:val="center"/>
            <w:hideMark/>
          </w:tcPr>
          <w:p w:rsidR="005324F8" w:rsidRPr="001254CB" w:rsidRDefault="00141ECA" w:rsidP="005324F8">
            <w:pPr>
              <w:pStyle w:val="Normal-Proyecto"/>
              <w:spacing w:after="0" w:line="240" w:lineRule="auto"/>
              <w:jc w:val="right"/>
              <w:rPr>
                <w:rFonts w:ascii="Arial Narrow" w:hAnsi="Arial Narrow" w:cs="Arial"/>
                <w:sz w:val="22"/>
              </w:rPr>
            </w:pPr>
            <w:r w:rsidRPr="00141ECA">
              <w:rPr>
                <w:rFonts w:ascii="Arial Narrow" w:hAnsi="Arial Narrow" w:cs="Arial"/>
                <w:sz w:val="22"/>
              </w:rPr>
              <w:t>6</w:t>
            </w:r>
            <w:r w:rsidR="005324F8" w:rsidRPr="00141ECA">
              <w:rPr>
                <w:rFonts w:ascii="Arial Narrow" w:hAnsi="Arial Narrow" w:cs="Arial"/>
                <w:sz w:val="22"/>
              </w:rPr>
              <w:t>.000,00 €</w:t>
            </w:r>
          </w:p>
        </w:tc>
      </w:tr>
    </w:tbl>
    <w:p w:rsidR="005324F8" w:rsidRDefault="005324F8" w:rsidP="005324F8">
      <w:pPr>
        <w:pStyle w:val="Normal3"/>
      </w:pPr>
    </w:p>
    <w:p w:rsidR="005324F8" w:rsidRDefault="005324F8" w:rsidP="005324F8">
      <w:pPr>
        <w:pStyle w:val="T02"/>
      </w:pPr>
      <w:bookmarkStart w:id="57" w:name="_Toc263408664"/>
      <w:bookmarkStart w:id="58" w:name="_Toc256678518"/>
      <w:bookmarkStart w:id="59" w:name="_Toc243976061"/>
      <w:bookmarkStart w:id="60" w:name="_Toc233176524"/>
      <w:bookmarkStart w:id="61" w:name="_Toc231805919"/>
      <w:bookmarkStart w:id="62" w:name="_Toc462164221"/>
      <w:r>
        <w:t>5.1.</w:t>
      </w:r>
      <w:r>
        <w:tab/>
        <w:t>Porcentaje de costes indirectos</w:t>
      </w:r>
      <w:bookmarkEnd w:id="57"/>
      <w:bookmarkEnd w:id="58"/>
      <w:bookmarkEnd w:id="59"/>
      <w:bookmarkEnd w:id="60"/>
      <w:bookmarkEnd w:id="61"/>
      <w:bookmarkEnd w:id="62"/>
    </w:p>
    <w:p w:rsidR="005324F8" w:rsidRDefault="005324F8" w:rsidP="005324F8">
      <w:r>
        <w:t>Aplicando la fórmula prevista en los artículos 67 y 68 del Reglamento General de Contratación de Obras del Estado, aprobado por Decreto 355A/1967 de 28 de diciembre, el porcentaje que corresponde a los costes indirectos es:</w:t>
      </w:r>
    </w:p>
    <w:p w:rsidR="005324F8" w:rsidRDefault="00141ECA" w:rsidP="005324F8">
      <w:pPr>
        <w:jc w:val="center"/>
      </w:pPr>
      <w:r w:rsidRPr="00141ECA">
        <w:rPr>
          <w:rFonts w:eastAsia="Calibri" w:cs="Times New Roman"/>
          <w:position w:val="-28"/>
        </w:rPr>
        <w:object w:dxaOrig="4520" w:dyaOrig="660">
          <v:shape id="_x0000_i1034" type="#_x0000_t75" style="width:226.3pt;height:31.8pt" o:ole="">
            <v:imagedata r:id="rId25" o:title=""/>
          </v:shape>
          <o:OLEObject Type="Embed" ProgID="Equation.DSMT4" ShapeID="_x0000_i1034" DrawAspect="Content" ObjectID="_1548226668" r:id="rId26"/>
        </w:object>
      </w:r>
    </w:p>
    <w:p w:rsidR="005324F8" w:rsidRDefault="005324F8" w:rsidP="005324F8">
      <w:r>
        <w:t>Luego:</w:t>
      </w:r>
    </w:p>
    <w:p w:rsidR="005324F8" w:rsidRDefault="005324F8" w:rsidP="005324F8">
      <w:pPr>
        <w:jc w:val="center"/>
      </w:pPr>
      <w:r>
        <w:rPr>
          <w:rFonts w:eastAsia="Calibri" w:cs="Times New Roman"/>
          <w:position w:val="-12"/>
        </w:rPr>
        <w:object w:dxaOrig="4035" w:dyaOrig="360">
          <v:shape id="_x0000_i1033" type="#_x0000_t75" style="width:201.95pt;height:17.75pt" o:ole="">
            <v:imagedata r:id="rId27" o:title=""/>
          </v:shape>
          <o:OLEObject Type="Embed" ProgID="Equation.DSMT4" ShapeID="_x0000_i1033" DrawAspect="Content" ObjectID="_1548226669" r:id="rId28"/>
        </w:object>
      </w:r>
    </w:p>
    <w:p w:rsidR="005324F8" w:rsidRDefault="005324F8" w:rsidP="005324F8">
      <w:r>
        <w:t>Obtenemos con esta fórmula los precios de ejecución material.</w:t>
      </w:r>
    </w:p>
    <w:p w:rsidR="005324F8" w:rsidRDefault="005324F8" w:rsidP="00075EEC">
      <w:pPr>
        <w:pStyle w:val="NORMAL0"/>
      </w:pPr>
    </w:p>
    <w:p w:rsidR="005324F8" w:rsidRDefault="005324F8" w:rsidP="00075EEC">
      <w:pPr>
        <w:pStyle w:val="TTULO01"/>
      </w:pPr>
      <w:bookmarkStart w:id="63" w:name="_Toc263408665"/>
      <w:bookmarkStart w:id="64" w:name="_Toc256678519"/>
      <w:bookmarkStart w:id="65" w:name="_Toc243976062"/>
      <w:bookmarkStart w:id="66" w:name="_Toc233176525"/>
      <w:bookmarkStart w:id="67" w:name="_Toc231805920"/>
      <w:bookmarkStart w:id="68" w:name="_Toc462164222"/>
      <w:bookmarkStart w:id="69" w:name="_Toc474484769"/>
      <w:r>
        <w:t>6.</w:t>
      </w:r>
      <w:r>
        <w:tab/>
        <w:t xml:space="preserve">Precios </w:t>
      </w:r>
      <w:r w:rsidRPr="00DD7455">
        <w:t>descompuestos</w:t>
      </w:r>
      <w:r>
        <w:t xml:space="preserve"> por capítulos</w:t>
      </w:r>
      <w:bookmarkEnd w:id="63"/>
      <w:bookmarkEnd w:id="64"/>
      <w:bookmarkEnd w:id="65"/>
      <w:bookmarkEnd w:id="66"/>
      <w:bookmarkEnd w:id="67"/>
      <w:bookmarkEnd w:id="68"/>
      <w:bookmarkEnd w:id="69"/>
    </w:p>
    <w:p w:rsidR="005324F8" w:rsidRDefault="005324F8" w:rsidP="005324F8">
      <w:r>
        <w:t>Con la repercusión calculada de los costes directos e indirectos, se adjunta a continuación la relación de los precios descompuestos de ejecución material.</w:t>
      </w:r>
    </w:p>
    <w:p w:rsidR="005324F8" w:rsidRDefault="005324F8" w:rsidP="005324F8"/>
    <w:sectPr w:rsidR="005324F8" w:rsidSect="00442ED8">
      <w:footerReference w:type="default" r:id="rId2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79E" w:rsidRDefault="00BC179E" w:rsidP="00263054">
      <w:pPr>
        <w:spacing w:after="0" w:line="240" w:lineRule="auto"/>
      </w:pPr>
      <w:r>
        <w:separator/>
      </w:r>
    </w:p>
  </w:endnote>
  <w:endnote w:type="continuationSeparator" w:id="0">
    <w:p w:rsidR="00BC179E" w:rsidRDefault="00BC179E"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5324F8" w:rsidTr="00EC1D79">
      <w:tc>
        <w:tcPr>
          <w:tcW w:w="19982" w:type="dxa"/>
          <w:vAlign w:val="center"/>
        </w:tcPr>
        <w:p w:rsidR="005324F8" w:rsidRDefault="005324F8" w:rsidP="002C1899">
          <w:pPr>
            <w:pStyle w:val="Piedepgina"/>
            <w:jc w:val="center"/>
            <w:rPr>
              <w:sz w:val="12"/>
              <w:szCs w:val="12"/>
            </w:rPr>
          </w:pPr>
          <w:r w:rsidRPr="005324F8">
            <w:rPr>
              <w:b/>
            </w:rPr>
            <w:t>Anejo Nº. 18 – JUSTIFICACIÓN DE PRECIOS</w:t>
          </w:r>
          <w:r>
            <w:t xml:space="preserve"> – </w:t>
          </w:r>
          <w:r>
            <w:rPr>
              <w:i/>
            </w:rPr>
            <w:t>Índice</w:t>
          </w:r>
        </w:p>
      </w:tc>
      <w:tc>
        <w:tcPr>
          <w:tcW w:w="987" w:type="dxa"/>
          <w:vAlign w:val="center"/>
        </w:tcPr>
        <w:p w:rsidR="005324F8" w:rsidRDefault="005324F8"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E7249B">
            <w:rPr>
              <w:i/>
              <w:noProof/>
            </w:rPr>
            <w:t>i</w:t>
          </w:r>
          <w:r>
            <w:rPr>
              <w:i/>
            </w:rPr>
            <w:fldChar w:fldCharType="end"/>
          </w:r>
          <w:r>
            <w:t xml:space="preserve"> -</w:t>
          </w:r>
        </w:p>
      </w:tc>
    </w:tr>
  </w:tbl>
  <w:p w:rsidR="005324F8" w:rsidRPr="00263054" w:rsidRDefault="005324F8">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5324F8" w:rsidTr="002C1899">
      <w:tc>
        <w:tcPr>
          <w:tcW w:w="19982" w:type="dxa"/>
          <w:vAlign w:val="center"/>
        </w:tcPr>
        <w:p w:rsidR="005324F8" w:rsidRDefault="005324F8" w:rsidP="002C1899">
          <w:pPr>
            <w:pStyle w:val="Piedepgina"/>
            <w:jc w:val="center"/>
            <w:rPr>
              <w:sz w:val="12"/>
              <w:szCs w:val="12"/>
            </w:rPr>
          </w:pPr>
          <w:r w:rsidRPr="005324F8">
            <w:rPr>
              <w:b/>
            </w:rPr>
            <w:t>Anejo Nº. 18 – JUSTIFICACIÓN DE PRECIOS</w:t>
          </w:r>
        </w:p>
      </w:tc>
      <w:tc>
        <w:tcPr>
          <w:tcW w:w="987" w:type="dxa"/>
          <w:vAlign w:val="center"/>
        </w:tcPr>
        <w:p w:rsidR="005324F8" w:rsidRPr="002C7D49" w:rsidRDefault="005324F8"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E7249B">
            <w:rPr>
              <w:i/>
              <w:noProof/>
            </w:rPr>
            <w:t>4</w:t>
          </w:r>
          <w:r w:rsidRPr="002C7D49">
            <w:rPr>
              <w:i/>
            </w:rPr>
            <w:fldChar w:fldCharType="end"/>
          </w:r>
          <w:r w:rsidRPr="002C7D49">
            <w:rPr>
              <w:i/>
            </w:rPr>
            <w:t xml:space="preserve"> -</w:t>
          </w:r>
        </w:p>
      </w:tc>
    </w:tr>
  </w:tbl>
  <w:p w:rsidR="005324F8" w:rsidRPr="00263054" w:rsidRDefault="005324F8"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79E" w:rsidRDefault="00BC179E" w:rsidP="00263054">
      <w:pPr>
        <w:spacing w:after="0" w:line="240" w:lineRule="auto"/>
      </w:pPr>
      <w:r>
        <w:separator/>
      </w:r>
    </w:p>
  </w:footnote>
  <w:footnote w:type="continuationSeparator" w:id="0">
    <w:p w:rsidR="00BC179E" w:rsidRDefault="00BC179E"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5324F8" w:rsidTr="00EC1D79">
      <w:tc>
        <w:tcPr>
          <w:tcW w:w="4390" w:type="dxa"/>
          <w:vAlign w:val="center"/>
        </w:tcPr>
        <w:p w:rsidR="005324F8" w:rsidRDefault="005324F8"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5324F8" w:rsidRDefault="005324F8"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5324F8" w:rsidRDefault="005324F8"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5324F8" w:rsidRPr="00263054" w:rsidRDefault="005324F8"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75EEC"/>
    <w:rsid w:val="000F4686"/>
    <w:rsid w:val="00141995"/>
    <w:rsid w:val="00141ECA"/>
    <w:rsid w:val="001B71AE"/>
    <w:rsid w:val="00263054"/>
    <w:rsid w:val="0029282C"/>
    <w:rsid w:val="002961B6"/>
    <w:rsid w:val="002C1899"/>
    <w:rsid w:val="002C7D49"/>
    <w:rsid w:val="002D7964"/>
    <w:rsid w:val="00343FE9"/>
    <w:rsid w:val="00354008"/>
    <w:rsid w:val="003D1F97"/>
    <w:rsid w:val="003F06F8"/>
    <w:rsid w:val="00404764"/>
    <w:rsid w:val="00442186"/>
    <w:rsid w:val="00442ED8"/>
    <w:rsid w:val="00444F9D"/>
    <w:rsid w:val="0046040D"/>
    <w:rsid w:val="004C5665"/>
    <w:rsid w:val="005324F8"/>
    <w:rsid w:val="005561F8"/>
    <w:rsid w:val="005F3E70"/>
    <w:rsid w:val="00633206"/>
    <w:rsid w:val="006C6533"/>
    <w:rsid w:val="0070479E"/>
    <w:rsid w:val="00716071"/>
    <w:rsid w:val="00824213"/>
    <w:rsid w:val="0097222F"/>
    <w:rsid w:val="009F76C4"/>
    <w:rsid w:val="00AB33BF"/>
    <w:rsid w:val="00AB6445"/>
    <w:rsid w:val="00B0122E"/>
    <w:rsid w:val="00BC179E"/>
    <w:rsid w:val="00BE7219"/>
    <w:rsid w:val="00BF5555"/>
    <w:rsid w:val="00CB6496"/>
    <w:rsid w:val="00D4038D"/>
    <w:rsid w:val="00D43EF1"/>
    <w:rsid w:val="00DD73FC"/>
    <w:rsid w:val="00E7249B"/>
    <w:rsid w:val="00E8686A"/>
    <w:rsid w:val="00EC1D79"/>
    <w:rsid w:val="00EC7474"/>
    <w:rsid w:val="00F022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 w:type="paragraph" w:customStyle="1" w:styleId="T01">
    <w:name w:val="_T01"/>
    <w:basedOn w:val="Normal"/>
    <w:next w:val="Normal"/>
    <w:qFormat/>
    <w:rsid w:val="005324F8"/>
    <w:pPr>
      <w:spacing w:after="200" w:line="264" w:lineRule="auto"/>
      <w:ind w:left="340" w:hanging="340"/>
    </w:pPr>
    <w:rPr>
      <w:b/>
      <w:caps/>
      <w:sz w:val="28"/>
    </w:rPr>
  </w:style>
  <w:style w:type="paragraph" w:customStyle="1" w:styleId="T02">
    <w:name w:val="_T02"/>
    <w:basedOn w:val="Normal"/>
    <w:next w:val="Normal"/>
    <w:qFormat/>
    <w:rsid w:val="005324F8"/>
    <w:pPr>
      <w:spacing w:after="200" w:line="264" w:lineRule="auto"/>
      <w:ind w:left="567" w:hanging="567"/>
    </w:pPr>
    <w:rPr>
      <w:b/>
      <w:smallCaps/>
      <w:sz w:val="24"/>
    </w:rPr>
  </w:style>
  <w:style w:type="paragraph" w:styleId="Textodeglobo">
    <w:name w:val="Balloon Text"/>
    <w:basedOn w:val="Normal"/>
    <w:link w:val="TextodegloboCar"/>
    <w:uiPriority w:val="99"/>
    <w:semiHidden/>
    <w:unhideWhenUsed/>
    <w:rsid w:val="003F06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0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A3A8B-F036-4B31-9FFF-18B10EC1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1640</Words>
  <Characters>9024</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10643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21</cp:revision>
  <cp:lastPrinted>2017-02-10T09:10:00Z</cp:lastPrinted>
  <dcterms:created xsi:type="dcterms:W3CDTF">2016-12-27T08:12:00Z</dcterms:created>
  <dcterms:modified xsi:type="dcterms:W3CDTF">2017-02-10T09:11:00Z</dcterms:modified>
</cp:coreProperties>
</file>